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w:t>
      </w:r>
      <w:r>
        <w:rPr>
          <w:rFonts w:hint="eastAsia" w:cs="Arial"/>
          <w:bCs/>
          <w:sz w:val="22"/>
          <w:szCs w:val="22"/>
          <w:lang w:val="en-US" w:eastAsia="zh-CN"/>
        </w:rPr>
        <w:t>1                                                                                     R1-2003334</w:t>
      </w:r>
      <w:bookmarkStart w:id="3" w:name="_GoBack"/>
      <w:bookmarkEnd w:id="3"/>
    </w:p>
    <w:p>
      <w:pPr>
        <w:pStyle w:val="24"/>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trike w:val="0"/>
          <w:dstrike w:val="0"/>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pPr>
        <w:pStyle w:val="24"/>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4"/>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UE feature </w:t>
      </w:r>
      <w:r>
        <w:rPr>
          <w:rFonts w:hint="eastAsia" w:eastAsiaTheme="minorEastAsia"/>
          <w:sz w:val="20"/>
          <w:lang w:val="en-US" w:eastAsia="zh-CN"/>
        </w:rPr>
        <w:t xml:space="preserve">for </w:t>
      </w:r>
      <w:r>
        <w:rPr>
          <w:rFonts w:hint="eastAsia" w:eastAsiaTheme="minorEastAsia"/>
          <w:sz w:val="20"/>
          <w:lang w:eastAsia="zh-CN"/>
        </w:rPr>
        <w:t>NR mobility enhancements</w:t>
      </w:r>
    </w:p>
    <w:p>
      <w:pPr>
        <w:pStyle w:val="24"/>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11</w:t>
      </w:r>
      <w:r>
        <w:rPr>
          <w:rFonts w:hint="eastAsia" w:eastAsia="宋体"/>
          <w:sz w:val="20"/>
          <w:lang w:eastAsia="zh-CN"/>
        </w:rPr>
        <w:t>.</w:t>
      </w:r>
      <w:r>
        <w:rPr>
          <w:rFonts w:hint="eastAsia" w:eastAsia="宋体"/>
          <w:sz w:val="20"/>
          <w:lang w:val="en-US" w:eastAsia="zh-CN"/>
        </w:rPr>
        <w:t>9</w:t>
      </w:r>
    </w:p>
    <w:p>
      <w:pPr>
        <w:pStyle w:val="24"/>
        <w:snapToGrid w:val="0"/>
        <w:spacing w:afterLines="50" w:line="240" w:lineRule="auto"/>
        <w:rPr>
          <w:sz w:val="20"/>
        </w:rPr>
      </w:pPr>
      <w:r>
        <w:rPr>
          <w:sz w:val="20"/>
        </w:rPr>
        <w:t>Document for:  Discussion and Decision</w:t>
      </w:r>
    </w:p>
    <w:bookmarkEnd w:id="0"/>
    <w:bookmarkEnd w:id="1"/>
    <w:p>
      <w:pPr>
        <w:pStyle w:val="2"/>
        <w:bidi w:val="0"/>
      </w:pPr>
      <w:r>
        <w:t>Introduction</w:t>
      </w:r>
    </w:p>
    <w:p>
      <w:pPr>
        <w:rPr>
          <w:lang w:val="en-GB" w:eastAsia="zh-CN"/>
        </w:rPr>
      </w:pPr>
      <w:r>
        <w:rPr>
          <w:lang w:val="en-GB" w:eastAsia="zh-CN"/>
        </w:rPr>
        <w:t xml:space="preserve">To make sure timely ASN.1 frozen, the </w:t>
      </w:r>
      <w:r>
        <w:rPr>
          <w:rFonts w:hint="eastAsia"/>
          <w:lang w:val="en-US" w:eastAsia="zh-CN"/>
        </w:rPr>
        <w:t xml:space="preserve">UE feature discussion in </w:t>
      </w:r>
      <w:r>
        <w:rPr>
          <w:lang w:val="en-GB" w:eastAsia="zh-CN"/>
        </w:rPr>
        <w:t>RAN1</w:t>
      </w:r>
      <w:r>
        <w:rPr>
          <w:rFonts w:hint="eastAsia"/>
          <w:lang w:val="en-US" w:eastAsia="zh-CN"/>
        </w:rPr>
        <w:t xml:space="preserve"> in</w:t>
      </w:r>
      <w:r>
        <w:rPr>
          <w:lang w:val="en-GB" w:eastAsia="zh-CN"/>
        </w:rPr>
        <w:t xml:space="preserve"> Q2 is </w:t>
      </w:r>
      <w:r>
        <w:rPr>
          <w:rFonts w:hint="eastAsia"/>
          <w:lang w:val="en-US" w:eastAsia="zh-CN"/>
        </w:rPr>
        <w:t>prioritized</w:t>
      </w:r>
      <w:r>
        <w:rPr>
          <w:lang w:val="en-GB" w:eastAsia="zh-CN"/>
        </w:rPr>
        <w:t xml:space="preserve">. In this contribution, we provides our views on the remaining issues of UE features for </w:t>
      </w:r>
      <w:r>
        <w:rPr>
          <w:rFonts w:hint="eastAsia"/>
          <w:lang w:val="en-US" w:eastAsia="zh-CN"/>
        </w:rPr>
        <w:t>NR mobility enhancements based on the output agreed in [1]</w:t>
      </w:r>
      <w:r>
        <w:rPr>
          <w:lang w:val="en-GB" w:eastAsia="zh-CN"/>
        </w:rPr>
        <w:t>.</w:t>
      </w:r>
    </w:p>
    <w:p>
      <w:pPr>
        <w:pStyle w:val="2"/>
        <w:bidi w:val="0"/>
        <w:rPr>
          <w:lang w:val="en-US"/>
        </w:rPr>
      </w:pPr>
      <w:r>
        <w:rPr>
          <w:rFonts w:hint="eastAsia"/>
          <w:lang w:val="en-US" w:eastAsia="zh-CN"/>
        </w:rPr>
        <w:t>Discussion</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jc w:val="both"/>
        <w:textAlignment w:val="baseline"/>
        <w:outlineLvl w:val="9"/>
        <w:rPr>
          <w:rFonts w:hint="eastAsia" w:eastAsia="宋体" w:cs="Times New Roman"/>
          <w:b/>
          <w:bCs/>
          <w:i w:val="0"/>
          <w:iCs w:val="0"/>
          <w:sz w:val="20"/>
          <w:szCs w:val="21"/>
          <w:lang w:val="en-US" w:eastAsia="zh-CN"/>
        </w:rPr>
      </w:pPr>
      <w:r>
        <w:rPr>
          <w:rFonts w:hint="eastAsia" w:eastAsia="宋体" w:cs="Times New Roman"/>
          <w:b/>
          <w:bCs/>
          <w:i w:val="0"/>
          <w:iCs w:val="0"/>
          <w:sz w:val="20"/>
          <w:szCs w:val="21"/>
          <w:lang w:val="en-US" w:eastAsia="zh-CN"/>
        </w:rPr>
        <w:t>Whether a UE capability is required for UL transmission cancellation</w:t>
      </w:r>
    </w:p>
    <w:p>
      <w:pPr>
        <w:bidi w:val="0"/>
        <w:rPr>
          <w:rFonts w:hint="eastAsia"/>
          <w:lang w:val="en-US" w:eastAsia="zh-CN"/>
        </w:rPr>
      </w:pPr>
      <w:r>
        <w:rPr>
          <w:rFonts w:hint="eastAsia"/>
          <w:lang w:val="en-US" w:eastAsia="zh-CN"/>
        </w:rPr>
        <w:t xml:space="preserve">In the RAN1#100bis-e meeting, FG 21-2a about UL transmission cancellation was discussed while no consensus was reached on its necessity. In our view, if this FG is supported and a UE reports its incapability, it means the UL collision should be avoided by the network. </w:t>
      </w:r>
      <w:r>
        <w:rPr>
          <w:rFonts w:hint="eastAsia"/>
          <w:sz w:val="20"/>
          <w:szCs w:val="20"/>
          <w:lang w:val="en-US" w:eastAsia="zh-CN"/>
        </w:rPr>
        <w:t xml:space="preserve">However, it is impossible for gNB to avoid such collision in some cases. </w:t>
      </w:r>
      <w:r>
        <w:rPr>
          <w:rFonts w:hint="eastAsia"/>
          <w:lang w:val="en-US" w:eastAsia="zh-CN"/>
        </w:rPr>
        <w:t xml:space="preserve">In our understanding, the UE capability of supporting UL cancellation is an essential functionality for DPAS handover since only UL cancellation mechanism can guarantee the priority of the target cell transmission if the UE </w:t>
      </w:r>
      <w:r>
        <w:rPr>
          <w:rFonts w:hint="eastAsia"/>
          <w:sz w:val="20"/>
          <w:szCs w:val="20"/>
          <w:lang w:val="en-US" w:eastAsia="zh-CN"/>
        </w:rPr>
        <w:t xml:space="preserve">does not support simultaneous UL transmissions. </w:t>
      </w:r>
    </w:p>
    <w:p>
      <w:pPr>
        <w:rPr>
          <w:rFonts w:hint="eastAsia"/>
          <w:lang w:val="en-US" w:eastAsia="zh-CN"/>
        </w:rPr>
      </w:pPr>
      <w:r>
        <w:rPr>
          <w:rFonts w:hint="eastAsia"/>
          <w:i w:val="0"/>
          <w:iCs w:val="0"/>
          <w:lang w:val="en-US" w:eastAsia="zh-CN"/>
        </w:rPr>
        <w:t xml:space="preserve">There were concerns on PHR and NDI interpretation due to UL cancellation of the source cell. In our understanding, this is quite similar to the case when a UE fails to decode the PUSCH, e.g., due to the miss detection of UL grant at the UE. In such case, gNB would schedule a re-transmission with none toggled NDI for the UE and the UE would send the TB again including PHR, if any. In our view, there is no issues on PHR and NDI interpretation in case of UL </w:t>
      </w:r>
      <w:r>
        <w:rPr>
          <w:rFonts w:hint="eastAsia" w:eastAsia="宋体"/>
          <w:i w:val="0"/>
          <w:iCs w:val="0"/>
          <w:lang w:val="en-US" w:eastAsia="zh-CN"/>
        </w:rPr>
        <w:t>cancellation</w:t>
      </w:r>
      <w:r>
        <w:rPr>
          <w:rFonts w:hint="eastAsia"/>
          <w:i w:val="0"/>
          <w:iCs w:val="0"/>
          <w:lang w:val="en-US" w:eastAsia="zh-CN"/>
        </w:rPr>
        <w:t xml:space="preserve"> in the source cell. </w:t>
      </w:r>
    </w:p>
    <w:tbl>
      <w:tblPr>
        <w:tblStyle w:val="31"/>
        <w:tblW w:w="9714" w:type="dxa"/>
        <w:tblInd w:w="0" w:type="dxa"/>
        <w:shd w:val="clear" w:color="auto" w:fill="FFFFFF"/>
        <w:tblLayout w:type="fixed"/>
        <w:tblCellMar>
          <w:top w:w="0" w:type="dxa"/>
          <w:left w:w="0" w:type="dxa"/>
          <w:bottom w:w="0" w:type="dxa"/>
          <w:right w:w="0" w:type="dxa"/>
        </w:tblCellMar>
      </w:tblPr>
      <w:tblGrid>
        <w:gridCol w:w="778"/>
        <w:gridCol w:w="1228"/>
        <w:gridCol w:w="1228"/>
        <w:gridCol w:w="838"/>
        <w:gridCol w:w="528"/>
        <w:gridCol w:w="518"/>
        <w:gridCol w:w="1318"/>
        <w:gridCol w:w="548"/>
        <w:gridCol w:w="448"/>
        <w:gridCol w:w="528"/>
        <w:gridCol w:w="518"/>
        <w:gridCol w:w="268"/>
        <w:gridCol w:w="968"/>
      </w:tblGrid>
      <w:tr>
        <w:tblPrEx>
          <w:shd w:val="clear" w:color="auto" w:fill="FFFFFF"/>
          <w:tblLayout w:type="fixed"/>
          <w:tblCellMar>
            <w:top w:w="0" w:type="dxa"/>
            <w:left w:w="0" w:type="dxa"/>
            <w:bottom w:w="0" w:type="dxa"/>
            <w:right w:w="0" w:type="dxa"/>
          </w:tblCellMar>
        </w:tblPrEx>
        <w:trPr>
          <w:trHeight w:val="2925" w:hRule="atLeast"/>
        </w:trPr>
        <w:tc>
          <w:tcPr>
            <w:tcW w:w="778"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FF0000"/>
                <w:sz w:val="18"/>
                <w:szCs w:val="18"/>
              </w:rPr>
              <w:t>[</w:t>
            </w:r>
            <w:r>
              <w:rPr>
                <w:rFonts w:hint="default" w:ascii="Times New Roman" w:hAnsi="Times New Roman" w:cs="Times New Roman"/>
                <w:color w:val="000000"/>
                <w:sz w:val="18"/>
                <w:szCs w:val="18"/>
              </w:rPr>
              <w:t>21-2a</w:t>
            </w:r>
            <w:r>
              <w:rPr>
                <w:rFonts w:hint="default" w:ascii="Times New Roman" w:hAnsi="Times New Roman" w:cs="Times New Roman"/>
                <w:color w:val="FF0000"/>
                <w:sz w:val="18"/>
                <w:szCs w:val="18"/>
              </w:rPr>
              <w:t>]</w:t>
            </w:r>
          </w:p>
        </w:tc>
        <w:tc>
          <w:tcPr>
            <w:tcW w:w="122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FF0000"/>
                <w:sz w:val="18"/>
                <w:szCs w:val="18"/>
              </w:rPr>
              <w:t>[</w:t>
            </w:r>
            <w:r>
              <w:rPr>
                <w:rFonts w:hint="default" w:ascii="Times New Roman" w:hAnsi="Times New Roman" w:cs="Times New Roman"/>
                <w:color w:val="000000"/>
                <w:sz w:val="18"/>
                <w:szCs w:val="18"/>
              </w:rPr>
              <w:t>UL transmission cancellation</w:t>
            </w:r>
            <w:r>
              <w:rPr>
                <w:rFonts w:hint="default" w:ascii="Times New Roman" w:hAnsi="Times New Roman" w:cs="Times New Roman"/>
                <w:color w:val="FF0000"/>
                <w:sz w:val="18"/>
                <w:szCs w:val="18"/>
              </w:rPr>
              <w:t>]</w:t>
            </w:r>
          </w:p>
        </w:tc>
        <w:tc>
          <w:tcPr>
            <w:tcW w:w="122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FF0000"/>
                <w:sz w:val="18"/>
                <w:szCs w:val="18"/>
              </w:rPr>
              <w:t>[</w:t>
            </w:r>
            <w:r>
              <w:rPr>
                <w:rFonts w:hint="default" w:ascii="Times New Roman" w:hAnsi="Times New Roman" w:cs="Times New Roman"/>
                <w:color w:val="000000"/>
                <w:sz w:val="18"/>
                <w:szCs w:val="18"/>
              </w:rPr>
              <w:t>Indicates support of cancelling UL transmission to the source cell</w:t>
            </w:r>
            <w:r>
              <w:rPr>
                <w:rFonts w:hint="default" w:ascii="Times New Roman" w:hAnsi="Times New Roman" w:cs="Times New Roman"/>
                <w:color w:val="FF0000"/>
                <w:sz w:val="18"/>
                <w:szCs w:val="18"/>
              </w:rPr>
              <w:t>]</w:t>
            </w:r>
          </w:p>
        </w:tc>
        <w:tc>
          <w:tcPr>
            <w:tcW w:w="83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DAPS</w:t>
            </w:r>
          </w:p>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(Note: RAN2 feature)</w:t>
            </w:r>
          </w:p>
        </w:tc>
        <w:tc>
          <w:tcPr>
            <w:tcW w:w="52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Yes</w:t>
            </w:r>
          </w:p>
        </w:tc>
        <w:tc>
          <w:tcPr>
            <w:tcW w:w="51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N/A</w:t>
            </w:r>
          </w:p>
        </w:tc>
        <w:tc>
          <w:tcPr>
            <w:tcW w:w="131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The UE does not expect UL transmissions to source cell and target cell overlap. The indication is signalled per pair of bands per band combination.</w:t>
            </w:r>
          </w:p>
        </w:tc>
        <w:tc>
          <w:tcPr>
            <w:tcW w:w="54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[Per UE]</w:t>
            </w:r>
          </w:p>
        </w:tc>
        <w:tc>
          <w:tcPr>
            <w:tcW w:w="44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No</w:t>
            </w:r>
          </w:p>
        </w:tc>
        <w:tc>
          <w:tcPr>
            <w:tcW w:w="52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Yes</w:t>
            </w:r>
          </w:p>
        </w:tc>
        <w:tc>
          <w:tcPr>
            <w:tcW w:w="51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N/A</w:t>
            </w:r>
          </w:p>
        </w:tc>
        <w:tc>
          <w:tcPr>
            <w:tcW w:w="26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 </w:t>
            </w:r>
          </w:p>
        </w:tc>
        <w:tc>
          <w:tcPr>
            <w:tcW w:w="968"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9"/>
              <w:keepNext/>
              <w:spacing w:beforeAutospacing="0" w:afterAutospacing="0" w:line="200" w:lineRule="atLeast"/>
              <w:rPr>
                <w:rFonts w:hint="default" w:ascii="Times New Roman" w:hAnsi="Times New Roman" w:cs="Times New Roman"/>
                <w:sz w:val="18"/>
                <w:szCs w:val="18"/>
              </w:rPr>
            </w:pPr>
            <w:r>
              <w:rPr>
                <w:rFonts w:hint="default" w:ascii="Times New Roman" w:hAnsi="Times New Roman" w:cs="Times New Roman"/>
                <w:color w:val="000000"/>
                <w:sz w:val="18"/>
                <w:szCs w:val="18"/>
              </w:rPr>
              <w:t>Optional with capability signalling</w:t>
            </w:r>
          </w:p>
        </w:tc>
      </w:tr>
    </w:tbl>
    <w:p>
      <w:pPr>
        <w:rPr>
          <w:rFonts w:hint="eastAsia"/>
          <w:lang w:val="en-US" w:eastAsia="zh-CN"/>
        </w:rPr>
      </w:pPr>
    </w:p>
    <w:p>
      <w:pPr>
        <w:spacing w:before="137" w:beforeLines="50"/>
        <w:outlineLvl w:val="9"/>
        <w:rPr>
          <w:rFonts w:hint="default"/>
          <w:i/>
          <w:iCs w:val="0"/>
          <w:lang w:val="en-US" w:eastAsia="zh-CN"/>
        </w:rPr>
      </w:pPr>
      <w:r>
        <w:rPr>
          <w:b/>
          <w:i/>
          <w:iCs w:val="0"/>
          <w:lang w:val="en-GB" w:eastAsia="zh-CN"/>
        </w:rPr>
        <w:t xml:space="preserve">Proposal </w:t>
      </w:r>
      <w:r>
        <w:rPr>
          <w:rFonts w:hint="eastAsia"/>
          <w:b/>
          <w:i/>
          <w:iCs w:val="0"/>
          <w:lang w:val="en-US" w:eastAsia="zh-CN"/>
        </w:rPr>
        <w:t>1</w:t>
      </w:r>
      <w:r>
        <w:rPr>
          <w:i/>
          <w:iCs w:val="0"/>
          <w:lang w:val="en-GB" w:eastAsia="zh-CN"/>
        </w:rPr>
        <w:t xml:space="preserve">: </w:t>
      </w:r>
      <w:r>
        <w:rPr>
          <w:rFonts w:hint="eastAsia"/>
          <w:i/>
          <w:iCs w:val="0"/>
          <w:lang w:val="en-US" w:eastAsia="zh-CN"/>
        </w:rPr>
        <w:t>FG 21</w:t>
      </w:r>
      <w:r>
        <w:rPr>
          <w:i/>
          <w:iCs w:val="0"/>
          <w:lang w:val="en-GB" w:eastAsia="zh-CN"/>
        </w:rPr>
        <w:t>-</w:t>
      </w:r>
      <w:r>
        <w:rPr>
          <w:rFonts w:hint="eastAsia"/>
          <w:i/>
          <w:iCs w:val="0"/>
          <w:lang w:val="en-US" w:eastAsia="zh-CN"/>
        </w:rPr>
        <w:t>2a on UL transmission cancellation is not introduced for Rel-16 mobility enhancements</w:t>
      </w:r>
      <w:r>
        <w:rPr>
          <w:i/>
          <w:iCs w:val="0"/>
          <w:lang w:val="en-GB" w:eastAsia="zh-CN"/>
        </w:rPr>
        <w:t>.</w:t>
      </w:r>
      <w:r>
        <w:rPr>
          <w:rFonts w:hint="eastAsia"/>
          <w:i/>
          <w:iCs w:val="0"/>
          <w:lang w:val="en-US" w:eastAsia="zh-CN"/>
        </w:rPr>
        <w:t xml:space="preserve">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jc w:val="both"/>
        <w:textAlignment w:val="baseline"/>
        <w:outlineLvl w:val="9"/>
        <w:rPr>
          <w:rFonts w:hint="eastAsia" w:eastAsia="宋体" w:cs="Times New Roman"/>
          <w:b/>
          <w:bCs/>
          <w:i w:val="0"/>
          <w:iCs w:val="0"/>
          <w:sz w:val="20"/>
          <w:szCs w:val="21"/>
          <w:lang w:val="en-US" w:eastAsia="zh-CN"/>
        </w:rPr>
      </w:pPr>
      <w:r>
        <w:rPr>
          <w:b/>
          <w:lang w:eastAsia="ja-JP"/>
        </w:rPr>
        <w:t xml:space="preserve">Consequence if </w:t>
      </w:r>
      <w:r>
        <w:rPr>
          <w:rFonts w:hint="eastAsia" w:eastAsia="宋体" w:cs="Times New Roman"/>
          <w:b/>
          <w:bCs/>
          <w:i w:val="0"/>
          <w:iCs w:val="0"/>
          <w:sz w:val="20"/>
          <w:szCs w:val="21"/>
          <w:lang w:val="en-US" w:eastAsia="zh-CN"/>
        </w:rPr>
        <w:t>FG 21-2</w:t>
      </w:r>
      <w:r>
        <w:rPr>
          <w:b/>
          <w:lang w:eastAsia="ja-JP"/>
        </w:rPr>
        <w:t xml:space="preserve"> is not supported by UE</w:t>
      </w:r>
    </w:p>
    <w:p>
      <w:pPr>
        <w:bidi w:val="0"/>
        <w:rPr>
          <w:rFonts w:hint="default"/>
          <w:lang w:val="en-US" w:eastAsia="zh-CN"/>
        </w:rPr>
      </w:pPr>
      <w:r>
        <w:rPr>
          <w:rFonts w:hint="eastAsia"/>
          <w:lang w:val="en-US" w:eastAsia="zh-CN"/>
        </w:rPr>
        <w:t>In the RAN1#100bis-e meeting, one FFS point on FG 21-2 is about the consequence if this FG is not supported by UE. The main concern from some companies is that a UE may require a separate UE capability on UL cancellation. In such case, a UE not supporting FG 21-2 doesn</w:t>
      </w:r>
      <w:r>
        <w:rPr>
          <w:rFonts w:hint="default"/>
          <w:lang w:val="en-US" w:eastAsia="zh-CN"/>
        </w:rPr>
        <w:t>’</w:t>
      </w:r>
      <w:r>
        <w:rPr>
          <w:rFonts w:hint="eastAsia"/>
          <w:lang w:val="en-US" w:eastAsia="zh-CN"/>
        </w:rPr>
        <w:t>t mean the UE will automatically support UL cancellation. However, as discussed above, UL cancellation should be a mandatory functionality for a UE supporting DAPS.  Therefore, we suggest confirming the FFS in FG 21-2.</w:t>
      </w:r>
    </w:p>
    <w:tbl>
      <w:tblPr>
        <w:tblStyle w:val="31"/>
        <w:tblW w:w="10083" w:type="dxa"/>
        <w:tblInd w:w="0" w:type="dxa"/>
        <w:shd w:val="clear" w:color="auto" w:fill="FFFFFF"/>
        <w:tblLayout w:type="fixed"/>
        <w:tblCellMar>
          <w:top w:w="0" w:type="dxa"/>
          <w:left w:w="0" w:type="dxa"/>
          <w:bottom w:w="0" w:type="dxa"/>
          <w:right w:w="0" w:type="dxa"/>
        </w:tblCellMar>
      </w:tblPr>
      <w:tblGrid>
        <w:gridCol w:w="630"/>
        <w:gridCol w:w="1020"/>
        <w:gridCol w:w="1746"/>
        <w:gridCol w:w="795"/>
        <w:gridCol w:w="491"/>
        <w:gridCol w:w="521"/>
        <w:gridCol w:w="1436"/>
        <w:gridCol w:w="733"/>
        <w:gridCol w:w="456"/>
        <w:gridCol w:w="477"/>
        <w:gridCol w:w="500"/>
        <w:gridCol w:w="240"/>
        <w:gridCol w:w="1038"/>
      </w:tblGrid>
      <w:tr>
        <w:tblPrEx>
          <w:shd w:val="clear" w:color="auto" w:fill="FFFFFF"/>
          <w:tblLayout w:type="fixed"/>
          <w:tblCellMar>
            <w:top w:w="0" w:type="dxa"/>
            <w:left w:w="0" w:type="dxa"/>
            <w:bottom w:w="0" w:type="dxa"/>
            <w:right w:w="0" w:type="dxa"/>
          </w:tblCellMar>
        </w:tblPrEx>
        <w:trPr>
          <w:trHeight w:val="0" w:hRule="atLeast"/>
        </w:trPr>
        <w:tc>
          <w:tcPr>
            <w:tcW w:w="630"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21-2</w:t>
            </w:r>
          </w:p>
        </w:tc>
        <w:tc>
          <w:tcPr>
            <w:tcW w:w="1020"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Basic UE power sharing for DAPS HO</w:t>
            </w:r>
          </w:p>
        </w:tc>
        <w:tc>
          <w:tcPr>
            <w:tcW w:w="1746"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Support of semi-static power sharing mode1 </w:t>
            </w:r>
          </w:p>
          <w:p>
            <w:pPr>
              <w:rPr>
                <w:sz w:val="18"/>
                <w:szCs w:val="22"/>
              </w:rPr>
            </w:pPr>
            <w:r>
              <w:rPr>
                <w:sz w:val="18"/>
                <w:szCs w:val="22"/>
              </w:rPr>
              <w:t> </w:t>
            </w:r>
          </w:p>
        </w:tc>
        <w:tc>
          <w:tcPr>
            <w:tcW w:w="795"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DAPS</w:t>
            </w:r>
          </w:p>
          <w:p>
            <w:pPr>
              <w:rPr>
                <w:sz w:val="18"/>
                <w:szCs w:val="22"/>
              </w:rPr>
            </w:pPr>
            <w:r>
              <w:rPr>
                <w:sz w:val="18"/>
                <w:szCs w:val="22"/>
              </w:rPr>
              <w:t>(Note: RAN2 feature)</w:t>
            </w:r>
          </w:p>
        </w:tc>
        <w:tc>
          <w:tcPr>
            <w:tcW w:w="491"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Yes</w:t>
            </w:r>
          </w:p>
        </w:tc>
        <w:tc>
          <w:tcPr>
            <w:tcW w:w="521"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1436"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highlight w:val="yellow"/>
              </w:rPr>
            </w:pPr>
            <w:r>
              <w:rPr>
                <w:sz w:val="18"/>
                <w:szCs w:val="22"/>
                <w:highlight w:val="yellow"/>
              </w:rPr>
              <w:t>FFS: The UE is only able to drop the transmission to the source.</w:t>
            </w:r>
          </w:p>
          <w:p>
            <w:pPr>
              <w:rPr>
                <w:sz w:val="18"/>
                <w:szCs w:val="22"/>
              </w:rPr>
            </w:pPr>
            <w:r>
              <w:rPr>
                <w:sz w:val="18"/>
                <w:szCs w:val="22"/>
              </w:rPr>
              <w:t> </w:t>
            </w:r>
          </w:p>
        </w:tc>
        <w:tc>
          <w:tcPr>
            <w:tcW w:w="733"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Per BC</w:t>
            </w:r>
          </w:p>
        </w:tc>
        <w:tc>
          <w:tcPr>
            <w:tcW w:w="456"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No</w:t>
            </w:r>
          </w:p>
        </w:tc>
        <w:tc>
          <w:tcPr>
            <w:tcW w:w="477"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500"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240"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p>
        </w:tc>
        <w:tc>
          <w:tcPr>
            <w:tcW w:w="1038"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Optional with capability signalling</w:t>
            </w:r>
          </w:p>
        </w:tc>
      </w:tr>
      <w:tr>
        <w:tblPrEx>
          <w:tblLayout w:type="fixed"/>
          <w:tblCellMar>
            <w:top w:w="0" w:type="dxa"/>
            <w:left w:w="0" w:type="dxa"/>
            <w:bottom w:w="0" w:type="dxa"/>
            <w:right w:w="0" w:type="dxa"/>
          </w:tblCellMar>
        </w:tblPrEx>
        <w:trPr>
          <w:trHeight w:val="0" w:hRule="atLeast"/>
        </w:trPr>
        <w:tc>
          <w:tcPr>
            <w:tcW w:w="630"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21-2a</w:t>
            </w:r>
          </w:p>
        </w:tc>
        <w:tc>
          <w:tcPr>
            <w:tcW w:w="102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Semi-static UL power sharing mode 2 for DAPS HO</w:t>
            </w:r>
          </w:p>
        </w:tc>
        <w:tc>
          <w:tcPr>
            <w:tcW w:w="174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Support of semi-static power sharing mode 2</w:t>
            </w:r>
          </w:p>
        </w:tc>
        <w:tc>
          <w:tcPr>
            <w:tcW w:w="795"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21-2</w:t>
            </w:r>
          </w:p>
        </w:tc>
        <w:tc>
          <w:tcPr>
            <w:tcW w:w="491"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Yes</w:t>
            </w:r>
          </w:p>
        </w:tc>
        <w:tc>
          <w:tcPr>
            <w:tcW w:w="521"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143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p>
        </w:tc>
        <w:tc>
          <w:tcPr>
            <w:tcW w:w="733"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Per BC</w:t>
            </w:r>
          </w:p>
        </w:tc>
        <w:tc>
          <w:tcPr>
            <w:tcW w:w="45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No</w:t>
            </w:r>
          </w:p>
        </w:tc>
        <w:tc>
          <w:tcPr>
            <w:tcW w:w="477"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50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24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p>
        </w:tc>
        <w:tc>
          <w:tcPr>
            <w:tcW w:w="1038"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Optional with capability signalling</w:t>
            </w:r>
          </w:p>
        </w:tc>
      </w:tr>
      <w:tr>
        <w:tblPrEx>
          <w:tblLayout w:type="fixed"/>
          <w:tblCellMar>
            <w:top w:w="0" w:type="dxa"/>
            <w:left w:w="0" w:type="dxa"/>
            <w:bottom w:w="0" w:type="dxa"/>
            <w:right w:w="0" w:type="dxa"/>
          </w:tblCellMar>
        </w:tblPrEx>
        <w:trPr>
          <w:trHeight w:val="0" w:hRule="atLeast"/>
        </w:trPr>
        <w:tc>
          <w:tcPr>
            <w:tcW w:w="630"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21-2b</w:t>
            </w:r>
          </w:p>
        </w:tc>
        <w:tc>
          <w:tcPr>
            <w:tcW w:w="102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Dynamic UL power sharing for DAPS HO</w:t>
            </w:r>
          </w:p>
        </w:tc>
        <w:tc>
          <w:tcPr>
            <w:tcW w:w="174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Support of dynamic power sharing</w:t>
            </w:r>
          </w:p>
        </w:tc>
        <w:tc>
          <w:tcPr>
            <w:tcW w:w="795"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21-2</w:t>
            </w:r>
          </w:p>
        </w:tc>
        <w:tc>
          <w:tcPr>
            <w:tcW w:w="491"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Yes</w:t>
            </w:r>
          </w:p>
        </w:tc>
        <w:tc>
          <w:tcPr>
            <w:tcW w:w="521"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143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p>
        </w:tc>
        <w:tc>
          <w:tcPr>
            <w:tcW w:w="733"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Per BC</w:t>
            </w:r>
          </w:p>
        </w:tc>
        <w:tc>
          <w:tcPr>
            <w:tcW w:w="456"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No</w:t>
            </w:r>
          </w:p>
        </w:tc>
        <w:tc>
          <w:tcPr>
            <w:tcW w:w="477"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50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N/A</w:t>
            </w:r>
          </w:p>
        </w:tc>
        <w:tc>
          <w:tcPr>
            <w:tcW w:w="240"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p>
        </w:tc>
        <w:tc>
          <w:tcPr>
            <w:tcW w:w="1038" w:type="dxa"/>
            <w:tcBorders>
              <w:top w:val="nil"/>
              <w:left w:val="nil"/>
              <w:bottom w:val="single" w:color="auto" w:sz="8" w:space="0"/>
              <w:right w:val="single" w:color="auto" w:sz="8" w:space="0"/>
            </w:tcBorders>
            <w:shd w:val="clear" w:color="auto" w:fill="FFFFFF"/>
            <w:tcMar>
              <w:left w:w="105" w:type="dxa"/>
              <w:right w:w="105" w:type="dxa"/>
            </w:tcMar>
            <w:vAlign w:val="top"/>
          </w:tcPr>
          <w:p>
            <w:pPr>
              <w:rPr>
                <w:sz w:val="18"/>
                <w:szCs w:val="22"/>
              </w:rPr>
            </w:pPr>
            <w:r>
              <w:rPr>
                <w:sz w:val="18"/>
                <w:szCs w:val="22"/>
              </w:rPr>
              <w:t>Optional with capability signalling</w:t>
            </w:r>
          </w:p>
          <w:p>
            <w:pPr>
              <w:rPr>
                <w:sz w:val="18"/>
                <w:szCs w:val="22"/>
              </w:rPr>
            </w:pPr>
            <w:r>
              <w:rPr>
                <w:sz w:val="18"/>
                <w:szCs w:val="22"/>
              </w:rPr>
              <w:t>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jc w:val="both"/>
        <w:textAlignment w:val="baseline"/>
        <w:outlineLvl w:val="9"/>
        <w:rPr>
          <w:b/>
          <w:i/>
          <w:iCs w:val="0"/>
          <w:sz w:val="21"/>
          <w:szCs w:val="22"/>
          <w:lang w:val="en-GB" w:eastAsia="zh-CN"/>
        </w:rPr>
      </w:pPr>
      <w:r>
        <w:rPr>
          <w:b/>
          <w:i/>
          <w:iCs w:val="0"/>
          <w:lang w:val="en-GB" w:eastAsia="zh-CN"/>
        </w:rPr>
        <w:t xml:space="preserve">Proposal </w:t>
      </w:r>
      <w:r>
        <w:rPr>
          <w:rFonts w:hint="eastAsia"/>
          <w:b/>
          <w:i/>
          <w:iCs w:val="0"/>
          <w:lang w:val="en-US" w:eastAsia="zh-CN"/>
        </w:rPr>
        <w:t>2</w:t>
      </w:r>
      <w:r>
        <w:rPr>
          <w:i/>
          <w:iCs w:val="0"/>
          <w:lang w:val="en-GB" w:eastAsia="zh-CN"/>
        </w:rPr>
        <w:t>:</w:t>
      </w:r>
      <w:r>
        <w:rPr>
          <w:rFonts w:hint="eastAsia"/>
          <w:i/>
          <w:iCs w:val="0"/>
          <w:lang w:val="en-US" w:eastAsia="zh-CN"/>
        </w:rPr>
        <w:t xml:space="preserve"> </w:t>
      </w:r>
      <w:r>
        <w:rPr>
          <w:rFonts w:hint="eastAsia" w:eastAsia="宋体"/>
          <w:b w:val="0"/>
          <w:bCs/>
          <w:i/>
          <w:iCs/>
          <w:lang w:val="en-US" w:eastAsia="zh-CN"/>
        </w:rPr>
        <w:t>The c</w:t>
      </w:r>
      <w:r>
        <w:rPr>
          <w:b w:val="0"/>
          <w:bCs/>
          <w:i/>
          <w:iCs/>
          <w:lang w:eastAsia="ja-JP"/>
        </w:rPr>
        <w:t xml:space="preserve">onsequence </w:t>
      </w:r>
      <w:r>
        <w:rPr>
          <w:rFonts w:hint="eastAsia" w:eastAsia="宋体"/>
          <w:b w:val="0"/>
          <w:bCs/>
          <w:i/>
          <w:iCs/>
          <w:lang w:val="en-US" w:eastAsia="zh-CN"/>
        </w:rPr>
        <w:t xml:space="preserve">of a UE not supporting </w:t>
      </w:r>
      <w:r>
        <w:rPr>
          <w:rFonts w:hint="eastAsia" w:eastAsia="宋体" w:cs="Times New Roman"/>
          <w:b w:val="0"/>
          <w:bCs/>
          <w:i/>
          <w:iCs/>
          <w:sz w:val="20"/>
          <w:szCs w:val="21"/>
          <w:lang w:val="en-US" w:eastAsia="zh-CN"/>
        </w:rPr>
        <w:t>FG 21-2 is that t</w:t>
      </w:r>
      <w:r>
        <w:rPr>
          <w:b w:val="0"/>
          <w:bCs/>
          <w:i/>
          <w:iCs/>
          <w:sz w:val="21"/>
          <w:szCs w:val="22"/>
          <w:lang w:val="en-GB" w:eastAsia="zh-CN"/>
        </w:rPr>
        <w:t>he UE is only able to drop the transmission to the source.</w:t>
      </w:r>
    </w:p>
    <w:p>
      <w:pPr>
        <w:pStyle w:val="2"/>
        <w:bidi w:val="0"/>
        <w:rPr>
          <w:rFonts w:hint="eastAsia"/>
          <w:lang w:val="en-US" w:eastAsia="zh-CN"/>
        </w:rPr>
      </w:pPr>
      <w:r>
        <w:rPr>
          <w:rFonts w:hint="eastAsia"/>
          <w:lang w:val="en-US" w:eastAsia="zh-CN"/>
        </w:rPr>
        <w:t>Conclusion</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宋体"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 xml:space="preserve">In this contribution, we provide our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NR mobility enhancements, and have the following proposals. </w:t>
      </w:r>
    </w:p>
    <w:p>
      <w:pPr>
        <w:spacing w:before="137" w:beforeLines="50"/>
        <w:outlineLvl w:val="9"/>
        <w:rPr>
          <w:rFonts w:hint="eastAsia" w:ascii="Times New Roman" w:hAnsi="Times New Roman" w:eastAsia="宋体" w:cs="Times New Roman"/>
          <w:sz w:val="20"/>
          <w:szCs w:val="20"/>
          <w:lang w:val="en-US" w:eastAsia="zh-CN" w:bidi="ar-SA"/>
        </w:rPr>
      </w:pPr>
      <w:r>
        <w:rPr>
          <w:b/>
          <w:i/>
          <w:iCs w:val="0"/>
          <w:lang w:val="en-GB" w:eastAsia="zh-CN"/>
        </w:rPr>
        <w:t xml:space="preserve">Proposal </w:t>
      </w:r>
      <w:r>
        <w:rPr>
          <w:rFonts w:hint="eastAsia"/>
          <w:b/>
          <w:i/>
          <w:iCs w:val="0"/>
          <w:lang w:val="en-US" w:eastAsia="zh-CN"/>
        </w:rPr>
        <w:t>1</w:t>
      </w:r>
      <w:r>
        <w:rPr>
          <w:i/>
          <w:iCs w:val="0"/>
          <w:lang w:val="en-GB" w:eastAsia="zh-CN"/>
        </w:rPr>
        <w:t xml:space="preserve">: </w:t>
      </w:r>
      <w:r>
        <w:rPr>
          <w:rFonts w:hint="eastAsia"/>
          <w:i/>
          <w:iCs w:val="0"/>
          <w:lang w:val="en-US" w:eastAsia="zh-CN"/>
        </w:rPr>
        <w:t>FG 21</w:t>
      </w:r>
      <w:r>
        <w:rPr>
          <w:i/>
          <w:iCs w:val="0"/>
          <w:lang w:val="en-GB" w:eastAsia="zh-CN"/>
        </w:rPr>
        <w:t>-</w:t>
      </w:r>
      <w:r>
        <w:rPr>
          <w:rFonts w:hint="eastAsia"/>
          <w:i/>
          <w:iCs w:val="0"/>
          <w:lang w:val="en-US" w:eastAsia="zh-CN"/>
        </w:rPr>
        <w:t>2a on UL transmission cancellation is not introduced for Rel-16 mobility enhancements</w:t>
      </w:r>
      <w:r>
        <w:rPr>
          <w:i/>
          <w:iCs w:val="0"/>
          <w:lang w:val="en-GB" w:eastAsia="zh-CN"/>
        </w:rPr>
        <w:t>.</w:t>
      </w:r>
      <w:r>
        <w:rPr>
          <w:rFonts w:hint="eastAsia"/>
          <w:i/>
          <w:iCs w:val="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jc w:val="both"/>
        <w:textAlignment w:val="baseline"/>
        <w:outlineLvl w:val="9"/>
        <w:rPr>
          <w:rFonts w:hint="default" w:ascii="Times New Roman" w:hAnsi="Times New Roman" w:eastAsia="宋体" w:cs="Times New Roman"/>
          <w:sz w:val="20"/>
          <w:szCs w:val="20"/>
          <w:lang w:val="en-US" w:eastAsia="zh-CN" w:bidi="ar-SA"/>
        </w:rPr>
      </w:pPr>
      <w:r>
        <w:rPr>
          <w:b/>
          <w:i/>
          <w:iCs w:val="0"/>
          <w:lang w:val="en-GB" w:eastAsia="zh-CN"/>
        </w:rPr>
        <w:t xml:space="preserve">Proposal </w:t>
      </w:r>
      <w:r>
        <w:rPr>
          <w:rFonts w:hint="eastAsia"/>
          <w:b/>
          <w:i/>
          <w:iCs w:val="0"/>
          <w:lang w:val="en-US" w:eastAsia="zh-CN"/>
        </w:rPr>
        <w:t>2</w:t>
      </w:r>
      <w:r>
        <w:rPr>
          <w:i/>
          <w:iCs w:val="0"/>
          <w:lang w:val="en-GB" w:eastAsia="zh-CN"/>
        </w:rPr>
        <w:t>:</w:t>
      </w:r>
      <w:r>
        <w:rPr>
          <w:rFonts w:hint="eastAsia"/>
          <w:i/>
          <w:iCs w:val="0"/>
          <w:lang w:val="en-US" w:eastAsia="zh-CN"/>
        </w:rPr>
        <w:t xml:space="preserve"> </w:t>
      </w:r>
      <w:r>
        <w:rPr>
          <w:rFonts w:hint="eastAsia" w:eastAsia="宋体"/>
          <w:b w:val="0"/>
          <w:bCs/>
          <w:i/>
          <w:iCs/>
          <w:lang w:val="en-US" w:eastAsia="zh-CN"/>
        </w:rPr>
        <w:t>The c</w:t>
      </w:r>
      <w:r>
        <w:rPr>
          <w:b w:val="0"/>
          <w:bCs/>
          <w:i/>
          <w:iCs/>
          <w:lang w:eastAsia="ja-JP"/>
        </w:rPr>
        <w:t xml:space="preserve">onsequence </w:t>
      </w:r>
      <w:r>
        <w:rPr>
          <w:rFonts w:hint="eastAsia" w:eastAsia="宋体"/>
          <w:b w:val="0"/>
          <w:bCs/>
          <w:i/>
          <w:iCs/>
          <w:lang w:val="en-US" w:eastAsia="zh-CN"/>
        </w:rPr>
        <w:t xml:space="preserve">of a UE not supporting </w:t>
      </w:r>
      <w:r>
        <w:rPr>
          <w:rFonts w:hint="eastAsia" w:eastAsia="宋体" w:cs="Times New Roman"/>
          <w:b w:val="0"/>
          <w:bCs/>
          <w:i/>
          <w:iCs/>
          <w:sz w:val="20"/>
          <w:szCs w:val="21"/>
          <w:lang w:val="en-US" w:eastAsia="zh-CN"/>
        </w:rPr>
        <w:t>FG 21-2 is that t</w:t>
      </w:r>
      <w:r>
        <w:rPr>
          <w:b w:val="0"/>
          <w:bCs/>
          <w:i/>
          <w:iCs/>
          <w:sz w:val="21"/>
          <w:szCs w:val="22"/>
          <w:lang w:val="en-GB" w:eastAsia="zh-CN"/>
        </w:rPr>
        <w:t>he UE is only able to drop the transmission to the source.</w:t>
      </w:r>
    </w:p>
    <w:p>
      <w:pPr>
        <w:pStyle w:val="2"/>
        <w:bidi w:val="0"/>
        <w:rPr>
          <w:rFonts w:hint="eastAsia"/>
          <w:lang w:val="en-US" w:eastAsia="zh-CN"/>
        </w:rPr>
      </w:pPr>
      <w:r>
        <w:rPr>
          <w:rFonts w:hint="eastAsia"/>
          <w:lang w:val="en-US" w:eastAsia="zh-CN"/>
        </w:rPr>
        <w:t>Reference</w:t>
      </w:r>
    </w:p>
    <w:p>
      <w:pPr>
        <w:numPr>
          <w:ilvl w:val="0"/>
          <w:numId w:val="4"/>
        </w:numPr>
        <w:bidi w:val="0"/>
        <w:rPr>
          <w:rFonts w:hint="default"/>
          <w:sz w:val="21"/>
          <w:szCs w:val="22"/>
          <w:lang w:val="en-US" w:eastAsia="zh-CN"/>
        </w:rPr>
      </w:pPr>
      <w:bookmarkStart w:id="2" w:name="_Ref427157992"/>
      <w:r>
        <w:rPr>
          <w:rFonts w:hint="eastAsia"/>
          <w:sz w:val="21"/>
          <w:szCs w:val="22"/>
          <w:lang w:val="en-US" w:eastAsia="zh-CN"/>
        </w:rPr>
        <w:t>3</w:t>
      </w:r>
      <w:bookmarkEnd w:id="2"/>
      <w:r>
        <w:rPr>
          <w:rFonts w:hint="eastAsia"/>
          <w:sz w:val="21"/>
          <w:szCs w:val="22"/>
          <w:lang w:val="en-US" w:eastAsia="zh-CN"/>
        </w:rPr>
        <w:t xml:space="preserve">GPP RAN1 #100bis-e meeting, </w:t>
      </w:r>
      <w:r>
        <w:rPr>
          <w:rFonts w:hint="eastAsia"/>
          <w:sz w:val="21"/>
          <w:szCs w:val="22"/>
          <w:lang w:val="en-US" w:eastAsia="zh-CN"/>
        </w:rPr>
        <w:fldChar w:fldCharType="begin"/>
      </w:r>
      <w:r>
        <w:rPr>
          <w:rFonts w:hint="eastAsia"/>
          <w:sz w:val="21"/>
          <w:szCs w:val="22"/>
          <w:lang w:val="en-US" w:eastAsia="zh-CN"/>
        </w:rPr>
        <w:instrText xml:space="preserve"> HYPERLINK "https://www.3gpp.org/ftp/tsg_ran/WG1_RL1/TSGR1_100b_e/Report/Draft_Minutes_report_RAN1%23100b-e_v010.zip" </w:instrText>
      </w:r>
      <w:r>
        <w:rPr>
          <w:rFonts w:hint="eastAsia"/>
          <w:sz w:val="21"/>
          <w:szCs w:val="22"/>
          <w:lang w:val="en-US" w:eastAsia="zh-CN"/>
        </w:rPr>
        <w:fldChar w:fldCharType="separate"/>
      </w:r>
      <w:r>
        <w:rPr>
          <w:rFonts w:hint="eastAsia"/>
          <w:sz w:val="21"/>
          <w:szCs w:val="22"/>
          <w:lang w:val="en-US" w:eastAsia="zh-CN"/>
        </w:rPr>
        <w:t>Draft_Minutes_report_RAN1#100b-e_v010</w:t>
      </w:r>
      <w:r>
        <w:rPr>
          <w:rFonts w:hint="eastAsia"/>
          <w:sz w:val="21"/>
          <w:szCs w:val="22"/>
          <w:lang w:val="en-US" w:eastAsia="zh-CN"/>
        </w:rPr>
        <w:fldChar w:fldCharType="end"/>
      </w:r>
      <w:r>
        <w:rPr>
          <w:rFonts w:hint="eastAsia"/>
          <w:sz w:val="21"/>
          <w:szCs w:val="22"/>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1BEF63"/>
    <w:multiLevelType w:val="singleLevel"/>
    <w:tmpl w:val="A71BEF63"/>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3">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B8D"/>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2E683A"/>
    <w:rsid w:val="01623DF4"/>
    <w:rsid w:val="0164403D"/>
    <w:rsid w:val="016A2D60"/>
    <w:rsid w:val="0187514E"/>
    <w:rsid w:val="0195524F"/>
    <w:rsid w:val="01D74EB5"/>
    <w:rsid w:val="01E376C5"/>
    <w:rsid w:val="01F04C32"/>
    <w:rsid w:val="01F93655"/>
    <w:rsid w:val="02021BB6"/>
    <w:rsid w:val="021E7A31"/>
    <w:rsid w:val="02223535"/>
    <w:rsid w:val="02536DBD"/>
    <w:rsid w:val="026E0645"/>
    <w:rsid w:val="027149AA"/>
    <w:rsid w:val="029D6CC8"/>
    <w:rsid w:val="02A62B42"/>
    <w:rsid w:val="02AE2102"/>
    <w:rsid w:val="02B437DC"/>
    <w:rsid w:val="02D70CDD"/>
    <w:rsid w:val="02E55162"/>
    <w:rsid w:val="02EB1A31"/>
    <w:rsid w:val="0306050F"/>
    <w:rsid w:val="0314180D"/>
    <w:rsid w:val="032646E9"/>
    <w:rsid w:val="032832F7"/>
    <w:rsid w:val="03427EAF"/>
    <w:rsid w:val="03444BA9"/>
    <w:rsid w:val="035F1C72"/>
    <w:rsid w:val="03914DF6"/>
    <w:rsid w:val="03AD34FD"/>
    <w:rsid w:val="03B1471C"/>
    <w:rsid w:val="03B97B8A"/>
    <w:rsid w:val="041E195A"/>
    <w:rsid w:val="043005CA"/>
    <w:rsid w:val="04447C19"/>
    <w:rsid w:val="045140EF"/>
    <w:rsid w:val="04676AA9"/>
    <w:rsid w:val="0469222B"/>
    <w:rsid w:val="047B0CB5"/>
    <w:rsid w:val="04855E9F"/>
    <w:rsid w:val="048B2CD8"/>
    <w:rsid w:val="048F2D8D"/>
    <w:rsid w:val="0495477A"/>
    <w:rsid w:val="04A3497F"/>
    <w:rsid w:val="04B478BC"/>
    <w:rsid w:val="04C21F07"/>
    <w:rsid w:val="04CB6EE5"/>
    <w:rsid w:val="04D46D9A"/>
    <w:rsid w:val="04D6453F"/>
    <w:rsid w:val="04DE21BA"/>
    <w:rsid w:val="04E954F9"/>
    <w:rsid w:val="04F91B2D"/>
    <w:rsid w:val="05103C59"/>
    <w:rsid w:val="058B1B5A"/>
    <w:rsid w:val="059458BD"/>
    <w:rsid w:val="05A10C09"/>
    <w:rsid w:val="05B11E5B"/>
    <w:rsid w:val="05BD29B3"/>
    <w:rsid w:val="05C83981"/>
    <w:rsid w:val="05C91534"/>
    <w:rsid w:val="05E8312B"/>
    <w:rsid w:val="05EC78F9"/>
    <w:rsid w:val="061A428C"/>
    <w:rsid w:val="062625A1"/>
    <w:rsid w:val="062E0E63"/>
    <w:rsid w:val="064F66F0"/>
    <w:rsid w:val="066375CC"/>
    <w:rsid w:val="06690485"/>
    <w:rsid w:val="06704A18"/>
    <w:rsid w:val="068A0138"/>
    <w:rsid w:val="069731D1"/>
    <w:rsid w:val="06BD2CCF"/>
    <w:rsid w:val="06D56F26"/>
    <w:rsid w:val="06D767B9"/>
    <w:rsid w:val="06D9451B"/>
    <w:rsid w:val="06D96BBE"/>
    <w:rsid w:val="06E441FD"/>
    <w:rsid w:val="06F22BA8"/>
    <w:rsid w:val="06F51DB4"/>
    <w:rsid w:val="0711734E"/>
    <w:rsid w:val="071F5EC0"/>
    <w:rsid w:val="07245592"/>
    <w:rsid w:val="07291B8B"/>
    <w:rsid w:val="074A539A"/>
    <w:rsid w:val="07811C6E"/>
    <w:rsid w:val="078C2C70"/>
    <w:rsid w:val="07AA7835"/>
    <w:rsid w:val="080F52AC"/>
    <w:rsid w:val="081437EE"/>
    <w:rsid w:val="081D1A74"/>
    <w:rsid w:val="082C0405"/>
    <w:rsid w:val="08436133"/>
    <w:rsid w:val="086211CC"/>
    <w:rsid w:val="08695C26"/>
    <w:rsid w:val="086B53B3"/>
    <w:rsid w:val="08701B23"/>
    <w:rsid w:val="08793CCA"/>
    <w:rsid w:val="0882388F"/>
    <w:rsid w:val="08B51B72"/>
    <w:rsid w:val="08BE728B"/>
    <w:rsid w:val="08CD1299"/>
    <w:rsid w:val="090F3C3F"/>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07026"/>
    <w:rsid w:val="0A284254"/>
    <w:rsid w:val="0A4021B5"/>
    <w:rsid w:val="0A5A0CCD"/>
    <w:rsid w:val="0A5B723D"/>
    <w:rsid w:val="0A8D18B2"/>
    <w:rsid w:val="0A98160E"/>
    <w:rsid w:val="0A99506A"/>
    <w:rsid w:val="0A9D2901"/>
    <w:rsid w:val="0AAB47D2"/>
    <w:rsid w:val="0ABD3ED5"/>
    <w:rsid w:val="0ABF3951"/>
    <w:rsid w:val="0ACC096D"/>
    <w:rsid w:val="0AD03DDD"/>
    <w:rsid w:val="0AEF34AD"/>
    <w:rsid w:val="0B0E0548"/>
    <w:rsid w:val="0B0E110D"/>
    <w:rsid w:val="0B1D2FF7"/>
    <w:rsid w:val="0B3365C3"/>
    <w:rsid w:val="0B4308FD"/>
    <w:rsid w:val="0B431971"/>
    <w:rsid w:val="0B5335F7"/>
    <w:rsid w:val="0B5E6855"/>
    <w:rsid w:val="0B6C0983"/>
    <w:rsid w:val="0B743E22"/>
    <w:rsid w:val="0B94314E"/>
    <w:rsid w:val="0B952B7C"/>
    <w:rsid w:val="0BB25E0A"/>
    <w:rsid w:val="0BBD3D04"/>
    <w:rsid w:val="0BBE3C20"/>
    <w:rsid w:val="0BF75F78"/>
    <w:rsid w:val="0BFD0200"/>
    <w:rsid w:val="0C1D146E"/>
    <w:rsid w:val="0C29592D"/>
    <w:rsid w:val="0C2C24AF"/>
    <w:rsid w:val="0C377CDD"/>
    <w:rsid w:val="0C5D4AAD"/>
    <w:rsid w:val="0C780B79"/>
    <w:rsid w:val="0C7D78E9"/>
    <w:rsid w:val="0C817F27"/>
    <w:rsid w:val="0C88343C"/>
    <w:rsid w:val="0CA56AF0"/>
    <w:rsid w:val="0CBA436B"/>
    <w:rsid w:val="0CC65AFD"/>
    <w:rsid w:val="0CCC39BF"/>
    <w:rsid w:val="0CCC4B3F"/>
    <w:rsid w:val="0CDD138A"/>
    <w:rsid w:val="0CE31AFF"/>
    <w:rsid w:val="0CE526B3"/>
    <w:rsid w:val="0CED2DBC"/>
    <w:rsid w:val="0D042712"/>
    <w:rsid w:val="0D0E2933"/>
    <w:rsid w:val="0D132D1C"/>
    <w:rsid w:val="0D175B09"/>
    <w:rsid w:val="0D4221D1"/>
    <w:rsid w:val="0D4E6418"/>
    <w:rsid w:val="0D55085B"/>
    <w:rsid w:val="0D73495B"/>
    <w:rsid w:val="0D767560"/>
    <w:rsid w:val="0D9C4D64"/>
    <w:rsid w:val="0D9E7869"/>
    <w:rsid w:val="0DB7254D"/>
    <w:rsid w:val="0DC93D9A"/>
    <w:rsid w:val="0DCB1EEE"/>
    <w:rsid w:val="0DDA5438"/>
    <w:rsid w:val="0DDE1DBA"/>
    <w:rsid w:val="0E0F567A"/>
    <w:rsid w:val="0E135CB6"/>
    <w:rsid w:val="0E140D66"/>
    <w:rsid w:val="0E171B0E"/>
    <w:rsid w:val="0E1C4855"/>
    <w:rsid w:val="0E284A8F"/>
    <w:rsid w:val="0E311C35"/>
    <w:rsid w:val="0E463BF7"/>
    <w:rsid w:val="0E625BE5"/>
    <w:rsid w:val="0E7146DA"/>
    <w:rsid w:val="0E795C87"/>
    <w:rsid w:val="0E8C5CCB"/>
    <w:rsid w:val="0E8D7FB3"/>
    <w:rsid w:val="0ED07CF2"/>
    <w:rsid w:val="0EE76F39"/>
    <w:rsid w:val="0EF90794"/>
    <w:rsid w:val="0F1A1BAB"/>
    <w:rsid w:val="0F3A6334"/>
    <w:rsid w:val="0F896791"/>
    <w:rsid w:val="0FBD385E"/>
    <w:rsid w:val="0FCC5F2C"/>
    <w:rsid w:val="0FD60E0E"/>
    <w:rsid w:val="0FDD4EEE"/>
    <w:rsid w:val="0FE353A5"/>
    <w:rsid w:val="102F11E2"/>
    <w:rsid w:val="104E4A64"/>
    <w:rsid w:val="105D13C1"/>
    <w:rsid w:val="106A17A4"/>
    <w:rsid w:val="106B797F"/>
    <w:rsid w:val="10A35AD3"/>
    <w:rsid w:val="10B14313"/>
    <w:rsid w:val="10B776CF"/>
    <w:rsid w:val="10DB0B79"/>
    <w:rsid w:val="10DE38F5"/>
    <w:rsid w:val="111A6C63"/>
    <w:rsid w:val="1130448C"/>
    <w:rsid w:val="1136212B"/>
    <w:rsid w:val="114617FE"/>
    <w:rsid w:val="11595CDE"/>
    <w:rsid w:val="117A3248"/>
    <w:rsid w:val="11835746"/>
    <w:rsid w:val="1195633E"/>
    <w:rsid w:val="11B701CD"/>
    <w:rsid w:val="11D972EE"/>
    <w:rsid w:val="11F03717"/>
    <w:rsid w:val="12085C20"/>
    <w:rsid w:val="123922F2"/>
    <w:rsid w:val="123C639F"/>
    <w:rsid w:val="123E1840"/>
    <w:rsid w:val="125104D9"/>
    <w:rsid w:val="126803A3"/>
    <w:rsid w:val="12724391"/>
    <w:rsid w:val="127432EE"/>
    <w:rsid w:val="12777C62"/>
    <w:rsid w:val="12967F5C"/>
    <w:rsid w:val="12B5686A"/>
    <w:rsid w:val="12E9532A"/>
    <w:rsid w:val="12F46528"/>
    <w:rsid w:val="12F47D71"/>
    <w:rsid w:val="13084F59"/>
    <w:rsid w:val="1314693C"/>
    <w:rsid w:val="13192BB5"/>
    <w:rsid w:val="133505A5"/>
    <w:rsid w:val="1347637A"/>
    <w:rsid w:val="13580386"/>
    <w:rsid w:val="13626F7B"/>
    <w:rsid w:val="13712629"/>
    <w:rsid w:val="137C5099"/>
    <w:rsid w:val="13D8065C"/>
    <w:rsid w:val="13EE12BE"/>
    <w:rsid w:val="13EF3260"/>
    <w:rsid w:val="142A7D52"/>
    <w:rsid w:val="142D56CE"/>
    <w:rsid w:val="143D763E"/>
    <w:rsid w:val="144F64AA"/>
    <w:rsid w:val="146E0C97"/>
    <w:rsid w:val="146F1C00"/>
    <w:rsid w:val="14713156"/>
    <w:rsid w:val="147A3455"/>
    <w:rsid w:val="148656B3"/>
    <w:rsid w:val="148B11CF"/>
    <w:rsid w:val="14AA0588"/>
    <w:rsid w:val="14BB65D7"/>
    <w:rsid w:val="14C0438E"/>
    <w:rsid w:val="15174763"/>
    <w:rsid w:val="153322FD"/>
    <w:rsid w:val="153C3075"/>
    <w:rsid w:val="1591534A"/>
    <w:rsid w:val="15BA22F5"/>
    <w:rsid w:val="15C33508"/>
    <w:rsid w:val="15CB01DE"/>
    <w:rsid w:val="15E36279"/>
    <w:rsid w:val="15FC525B"/>
    <w:rsid w:val="1609578C"/>
    <w:rsid w:val="160A5D29"/>
    <w:rsid w:val="160F2DEB"/>
    <w:rsid w:val="161237B4"/>
    <w:rsid w:val="162D44E8"/>
    <w:rsid w:val="162E624F"/>
    <w:rsid w:val="16302D37"/>
    <w:rsid w:val="165B05D3"/>
    <w:rsid w:val="16706E10"/>
    <w:rsid w:val="167342D2"/>
    <w:rsid w:val="167566A4"/>
    <w:rsid w:val="16877E3B"/>
    <w:rsid w:val="16883C7E"/>
    <w:rsid w:val="16A24BF5"/>
    <w:rsid w:val="16BF4501"/>
    <w:rsid w:val="16D46636"/>
    <w:rsid w:val="16E634EE"/>
    <w:rsid w:val="16E6425B"/>
    <w:rsid w:val="16EB3239"/>
    <w:rsid w:val="16EE0289"/>
    <w:rsid w:val="170C14B3"/>
    <w:rsid w:val="173812F5"/>
    <w:rsid w:val="173E0E43"/>
    <w:rsid w:val="176647B8"/>
    <w:rsid w:val="1768135A"/>
    <w:rsid w:val="17721467"/>
    <w:rsid w:val="17787EAB"/>
    <w:rsid w:val="177D428E"/>
    <w:rsid w:val="178F68B3"/>
    <w:rsid w:val="179D6DFA"/>
    <w:rsid w:val="17A31A1A"/>
    <w:rsid w:val="17CB4230"/>
    <w:rsid w:val="17CF33F8"/>
    <w:rsid w:val="17D60A1F"/>
    <w:rsid w:val="17E04D27"/>
    <w:rsid w:val="1808459B"/>
    <w:rsid w:val="180F61DB"/>
    <w:rsid w:val="18165A2A"/>
    <w:rsid w:val="18373013"/>
    <w:rsid w:val="183F6921"/>
    <w:rsid w:val="184044BF"/>
    <w:rsid w:val="184149AC"/>
    <w:rsid w:val="184952EB"/>
    <w:rsid w:val="18543B80"/>
    <w:rsid w:val="185F2884"/>
    <w:rsid w:val="187C410A"/>
    <w:rsid w:val="18915502"/>
    <w:rsid w:val="18A95EE8"/>
    <w:rsid w:val="18B40DDC"/>
    <w:rsid w:val="18B50763"/>
    <w:rsid w:val="18C31D0B"/>
    <w:rsid w:val="18CB50F0"/>
    <w:rsid w:val="18D4394A"/>
    <w:rsid w:val="18F01878"/>
    <w:rsid w:val="19254C43"/>
    <w:rsid w:val="19405B13"/>
    <w:rsid w:val="195D5B4F"/>
    <w:rsid w:val="19801B59"/>
    <w:rsid w:val="19813723"/>
    <w:rsid w:val="198F45DD"/>
    <w:rsid w:val="1992188E"/>
    <w:rsid w:val="199B72B2"/>
    <w:rsid w:val="19AB31E9"/>
    <w:rsid w:val="19CE7110"/>
    <w:rsid w:val="19D21D12"/>
    <w:rsid w:val="19DB75E4"/>
    <w:rsid w:val="19DC52BF"/>
    <w:rsid w:val="19FE163E"/>
    <w:rsid w:val="1A0A2B4C"/>
    <w:rsid w:val="1A1F0F22"/>
    <w:rsid w:val="1A3869CD"/>
    <w:rsid w:val="1A4347A6"/>
    <w:rsid w:val="1A457FCB"/>
    <w:rsid w:val="1A5F0B47"/>
    <w:rsid w:val="1A91148E"/>
    <w:rsid w:val="1AA26902"/>
    <w:rsid w:val="1AAA1F84"/>
    <w:rsid w:val="1AB00207"/>
    <w:rsid w:val="1AB52681"/>
    <w:rsid w:val="1ABE7D37"/>
    <w:rsid w:val="1AC1475C"/>
    <w:rsid w:val="1ACE08E9"/>
    <w:rsid w:val="1AD0283D"/>
    <w:rsid w:val="1ADD0D46"/>
    <w:rsid w:val="1AE16C19"/>
    <w:rsid w:val="1B125DDA"/>
    <w:rsid w:val="1B1B27AF"/>
    <w:rsid w:val="1B4C7093"/>
    <w:rsid w:val="1B6B406D"/>
    <w:rsid w:val="1B9B216A"/>
    <w:rsid w:val="1BB32E96"/>
    <w:rsid w:val="1BD23429"/>
    <w:rsid w:val="1BDF3256"/>
    <w:rsid w:val="1BF2544F"/>
    <w:rsid w:val="1C1B280C"/>
    <w:rsid w:val="1C215368"/>
    <w:rsid w:val="1C2761F3"/>
    <w:rsid w:val="1C496310"/>
    <w:rsid w:val="1C5D4224"/>
    <w:rsid w:val="1C5E1E39"/>
    <w:rsid w:val="1C5E5275"/>
    <w:rsid w:val="1C856B73"/>
    <w:rsid w:val="1C9242AB"/>
    <w:rsid w:val="1CA72CB3"/>
    <w:rsid w:val="1CAB511B"/>
    <w:rsid w:val="1CB02827"/>
    <w:rsid w:val="1CD84E90"/>
    <w:rsid w:val="1D185D6A"/>
    <w:rsid w:val="1D296EF5"/>
    <w:rsid w:val="1D553BF2"/>
    <w:rsid w:val="1D6D1D09"/>
    <w:rsid w:val="1D804F80"/>
    <w:rsid w:val="1DA958F6"/>
    <w:rsid w:val="1DBC77F4"/>
    <w:rsid w:val="1DE4460A"/>
    <w:rsid w:val="1DE6752F"/>
    <w:rsid w:val="1DF7400A"/>
    <w:rsid w:val="1E013264"/>
    <w:rsid w:val="1E12615C"/>
    <w:rsid w:val="1E1C765A"/>
    <w:rsid w:val="1E262A27"/>
    <w:rsid w:val="1E2C5D58"/>
    <w:rsid w:val="1E2F3E70"/>
    <w:rsid w:val="1E335389"/>
    <w:rsid w:val="1E3F35BD"/>
    <w:rsid w:val="1E482687"/>
    <w:rsid w:val="1E5707DE"/>
    <w:rsid w:val="1E740F0D"/>
    <w:rsid w:val="1E9A56A3"/>
    <w:rsid w:val="1EA36749"/>
    <w:rsid w:val="1EC23A55"/>
    <w:rsid w:val="1EDE3E4D"/>
    <w:rsid w:val="1EFF5E6A"/>
    <w:rsid w:val="1F0C25D9"/>
    <w:rsid w:val="1F2D6461"/>
    <w:rsid w:val="1F334F71"/>
    <w:rsid w:val="1F354DB1"/>
    <w:rsid w:val="1F3A277D"/>
    <w:rsid w:val="1F571BD3"/>
    <w:rsid w:val="1F7F1019"/>
    <w:rsid w:val="1F843DE6"/>
    <w:rsid w:val="1F9675F9"/>
    <w:rsid w:val="1FC1366A"/>
    <w:rsid w:val="1FD44493"/>
    <w:rsid w:val="1FE03430"/>
    <w:rsid w:val="1FE81AB1"/>
    <w:rsid w:val="1FF037A6"/>
    <w:rsid w:val="1FF51C68"/>
    <w:rsid w:val="1FF72138"/>
    <w:rsid w:val="202741E3"/>
    <w:rsid w:val="203F76A4"/>
    <w:rsid w:val="205516BE"/>
    <w:rsid w:val="205965D9"/>
    <w:rsid w:val="2074218C"/>
    <w:rsid w:val="208166FD"/>
    <w:rsid w:val="208D640A"/>
    <w:rsid w:val="209E0CEA"/>
    <w:rsid w:val="20DB6509"/>
    <w:rsid w:val="20EC41BB"/>
    <w:rsid w:val="2126496E"/>
    <w:rsid w:val="213B5CD2"/>
    <w:rsid w:val="21656360"/>
    <w:rsid w:val="216D33DF"/>
    <w:rsid w:val="21724281"/>
    <w:rsid w:val="217A09A5"/>
    <w:rsid w:val="21805B49"/>
    <w:rsid w:val="21864670"/>
    <w:rsid w:val="2190323C"/>
    <w:rsid w:val="219A1570"/>
    <w:rsid w:val="21E23CAE"/>
    <w:rsid w:val="220D5A08"/>
    <w:rsid w:val="2220046A"/>
    <w:rsid w:val="22505F69"/>
    <w:rsid w:val="22703CF0"/>
    <w:rsid w:val="2273507A"/>
    <w:rsid w:val="2273551A"/>
    <w:rsid w:val="22736CCB"/>
    <w:rsid w:val="227A7A22"/>
    <w:rsid w:val="227C682E"/>
    <w:rsid w:val="227E095F"/>
    <w:rsid w:val="2282657C"/>
    <w:rsid w:val="22A129F3"/>
    <w:rsid w:val="22B82B02"/>
    <w:rsid w:val="22D33EA6"/>
    <w:rsid w:val="22DE5C91"/>
    <w:rsid w:val="22E813E0"/>
    <w:rsid w:val="22FB1635"/>
    <w:rsid w:val="230C6400"/>
    <w:rsid w:val="23190EE9"/>
    <w:rsid w:val="231C4810"/>
    <w:rsid w:val="232A0B84"/>
    <w:rsid w:val="236B587B"/>
    <w:rsid w:val="237960DC"/>
    <w:rsid w:val="239120EA"/>
    <w:rsid w:val="23A15217"/>
    <w:rsid w:val="23AD60D7"/>
    <w:rsid w:val="23BA4644"/>
    <w:rsid w:val="23C26CFC"/>
    <w:rsid w:val="23E16126"/>
    <w:rsid w:val="23E43A80"/>
    <w:rsid w:val="23F47757"/>
    <w:rsid w:val="24071708"/>
    <w:rsid w:val="24155192"/>
    <w:rsid w:val="242E4806"/>
    <w:rsid w:val="24412C44"/>
    <w:rsid w:val="244B37E6"/>
    <w:rsid w:val="245743B5"/>
    <w:rsid w:val="24574D0A"/>
    <w:rsid w:val="245D5692"/>
    <w:rsid w:val="247221DF"/>
    <w:rsid w:val="247513E0"/>
    <w:rsid w:val="249A087B"/>
    <w:rsid w:val="24A34DCB"/>
    <w:rsid w:val="24A4678C"/>
    <w:rsid w:val="24AD6222"/>
    <w:rsid w:val="24B13DE0"/>
    <w:rsid w:val="24B73377"/>
    <w:rsid w:val="24BA3D72"/>
    <w:rsid w:val="24CD4542"/>
    <w:rsid w:val="24E80508"/>
    <w:rsid w:val="24E8337B"/>
    <w:rsid w:val="24FC0C7B"/>
    <w:rsid w:val="25356021"/>
    <w:rsid w:val="254B68E4"/>
    <w:rsid w:val="255320E9"/>
    <w:rsid w:val="255D6052"/>
    <w:rsid w:val="25850891"/>
    <w:rsid w:val="25B81417"/>
    <w:rsid w:val="25BB704A"/>
    <w:rsid w:val="25EA4351"/>
    <w:rsid w:val="25FE407C"/>
    <w:rsid w:val="26082DC8"/>
    <w:rsid w:val="2638094F"/>
    <w:rsid w:val="263B466F"/>
    <w:rsid w:val="263E0EAC"/>
    <w:rsid w:val="263F5121"/>
    <w:rsid w:val="26562F82"/>
    <w:rsid w:val="2665161B"/>
    <w:rsid w:val="26803088"/>
    <w:rsid w:val="26894387"/>
    <w:rsid w:val="269C68CA"/>
    <w:rsid w:val="26D2010B"/>
    <w:rsid w:val="26D4632B"/>
    <w:rsid w:val="271D1EB4"/>
    <w:rsid w:val="271E24C5"/>
    <w:rsid w:val="27244E14"/>
    <w:rsid w:val="27311FCF"/>
    <w:rsid w:val="27442A58"/>
    <w:rsid w:val="275F0CD3"/>
    <w:rsid w:val="27A71614"/>
    <w:rsid w:val="27AA1A6C"/>
    <w:rsid w:val="27AE06A2"/>
    <w:rsid w:val="27D01706"/>
    <w:rsid w:val="27EA48A9"/>
    <w:rsid w:val="27F3564A"/>
    <w:rsid w:val="28325B9C"/>
    <w:rsid w:val="28425FD1"/>
    <w:rsid w:val="28840AAD"/>
    <w:rsid w:val="28863432"/>
    <w:rsid w:val="28954ED3"/>
    <w:rsid w:val="28B52071"/>
    <w:rsid w:val="28BA1F6A"/>
    <w:rsid w:val="28C61782"/>
    <w:rsid w:val="28D46F51"/>
    <w:rsid w:val="28ED0663"/>
    <w:rsid w:val="290B5205"/>
    <w:rsid w:val="294825F1"/>
    <w:rsid w:val="294E3F38"/>
    <w:rsid w:val="29675DAC"/>
    <w:rsid w:val="29835B48"/>
    <w:rsid w:val="29937C67"/>
    <w:rsid w:val="29A4032A"/>
    <w:rsid w:val="29B05158"/>
    <w:rsid w:val="29C26A1E"/>
    <w:rsid w:val="29C36304"/>
    <w:rsid w:val="29D8176B"/>
    <w:rsid w:val="29D81E95"/>
    <w:rsid w:val="29F15A0B"/>
    <w:rsid w:val="29F2088E"/>
    <w:rsid w:val="29F77955"/>
    <w:rsid w:val="29FE6EF3"/>
    <w:rsid w:val="2A087824"/>
    <w:rsid w:val="2A1B6F47"/>
    <w:rsid w:val="2A2C7B7A"/>
    <w:rsid w:val="2A3D494E"/>
    <w:rsid w:val="2A487BBD"/>
    <w:rsid w:val="2A4952D5"/>
    <w:rsid w:val="2A5A3D32"/>
    <w:rsid w:val="2A7705EC"/>
    <w:rsid w:val="2A881B63"/>
    <w:rsid w:val="2A8D0A0D"/>
    <w:rsid w:val="2A8E1EAB"/>
    <w:rsid w:val="2AA06C98"/>
    <w:rsid w:val="2AAC7A6F"/>
    <w:rsid w:val="2AAF7102"/>
    <w:rsid w:val="2ABB0892"/>
    <w:rsid w:val="2AC35EBD"/>
    <w:rsid w:val="2AC514A0"/>
    <w:rsid w:val="2ADA009F"/>
    <w:rsid w:val="2AEB310F"/>
    <w:rsid w:val="2B0428DA"/>
    <w:rsid w:val="2B1161F7"/>
    <w:rsid w:val="2B151E11"/>
    <w:rsid w:val="2B177A61"/>
    <w:rsid w:val="2B382BF6"/>
    <w:rsid w:val="2B4673AD"/>
    <w:rsid w:val="2B492FF2"/>
    <w:rsid w:val="2B4F643B"/>
    <w:rsid w:val="2B591778"/>
    <w:rsid w:val="2B627A4B"/>
    <w:rsid w:val="2B6E6585"/>
    <w:rsid w:val="2B7D70AB"/>
    <w:rsid w:val="2B852E10"/>
    <w:rsid w:val="2B9B76E0"/>
    <w:rsid w:val="2BAF63E4"/>
    <w:rsid w:val="2BB52FB9"/>
    <w:rsid w:val="2BBD31DA"/>
    <w:rsid w:val="2BC71A8A"/>
    <w:rsid w:val="2BC93AB1"/>
    <w:rsid w:val="2BE613B7"/>
    <w:rsid w:val="2C090811"/>
    <w:rsid w:val="2C147232"/>
    <w:rsid w:val="2C157FC6"/>
    <w:rsid w:val="2C1A15A3"/>
    <w:rsid w:val="2C2364B5"/>
    <w:rsid w:val="2C693C27"/>
    <w:rsid w:val="2C8E0B5F"/>
    <w:rsid w:val="2C963FFD"/>
    <w:rsid w:val="2C9D5806"/>
    <w:rsid w:val="2CAC7E5C"/>
    <w:rsid w:val="2CAD56AA"/>
    <w:rsid w:val="2CC841ED"/>
    <w:rsid w:val="2CDA6659"/>
    <w:rsid w:val="2CDA693A"/>
    <w:rsid w:val="2CDE5A7A"/>
    <w:rsid w:val="2CDF5585"/>
    <w:rsid w:val="2CE6306C"/>
    <w:rsid w:val="2CE90300"/>
    <w:rsid w:val="2CF078D2"/>
    <w:rsid w:val="2CF50E27"/>
    <w:rsid w:val="2CF916FA"/>
    <w:rsid w:val="2CF95115"/>
    <w:rsid w:val="2D093C9F"/>
    <w:rsid w:val="2D163259"/>
    <w:rsid w:val="2D1B1B33"/>
    <w:rsid w:val="2D36631D"/>
    <w:rsid w:val="2D3B7916"/>
    <w:rsid w:val="2D3C3CD7"/>
    <w:rsid w:val="2D6768A7"/>
    <w:rsid w:val="2D7D6008"/>
    <w:rsid w:val="2D9F652B"/>
    <w:rsid w:val="2D9F6656"/>
    <w:rsid w:val="2DAE5F4F"/>
    <w:rsid w:val="2DB10B97"/>
    <w:rsid w:val="2DB600C3"/>
    <w:rsid w:val="2DD12AD6"/>
    <w:rsid w:val="2DE85D81"/>
    <w:rsid w:val="2DEB07BF"/>
    <w:rsid w:val="2DF3685B"/>
    <w:rsid w:val="2E0715D6"/>
    <w:rsid w:val="2E173F56"/>
    <w:rsid w:val="2E36004C"/>
    <w:rsid w:val="2E48670E"/>
    <w:rsid w:val="2E6D43BD"/>
    <w:rsid w:val="2E8422D7"/>
    <w:rsid w:val="2EAC39F4"/>
    <w:rsid w:val="2EC251F7"/>
    <w:rsid w:val="2ECF3457"/>
    <w:rsid w:val="2EE73363"/>
    <w:rsid w:val="2EEE2B73"/>
    <w:rsid w:val="2EEF5957"/>
    <w:rsid w:val="2F005E71"/>
    <w:rsid w:val="2F1422A8"/>
    <w:rsid w:val="2F1F4948"/>
    <w:rsid w:val="2F341996"/>
    <w:rsid w:val="2F38231B"/>
    <w:rsid w:val="2F8615D5"/>
    <w:rsid w:val="2F8C712D"/>
    <w:rsid w:val="2F97792C"/>
    <w:rsid w:val="2FA97745"/>
    <w:rsid w:val="2FBF244E"/>
    <w:rsid w:val="2FE1471D"/>
    <w:rsid w:val="2FFB5947"/>
    <w:rsid w:val="300563D4"/>
    <w:rsid w:val="30566E0B"/>
    <w:rsid w:val="306C4308"/>
    <w:rsid w:val="307160DC"/>
    <w:rsid w:val="3072169E"/>
    <w:rsid w:val="30896C46"/>
    <w:rsid w:val="30930E9C"/>
    <w:rsid w:val="309C07CC"/>
    <w:rsid w:val="30BE6DA5"/>
    <w:rsid w:val="30D51F7C"/>
    <w:rsid w:val="30EC4B0C"/>
    <w:rsid w:val="30ED594E"/>
    <w:rsid w:val="30F2171C"/>
    <w:rsid w:val="311D6372"/>
    <w:rsid w:val="31240EC0"/>
    <w:rsid w:val="3124686A"/>
    <w:rsid w:val="31337ADA"/>
    <w:rsid w:val="315D5BA6"/>
    <w:rsid w:val="31640971"/>
    <w:rsid w:val="316B56A8"/>
    <w:rsid w:val="316E78EA"/>
    <w:rsid w:val="317C2DC5"/>
    <w:rsid w:val="317D615F"/>
    <w:rsid w:val="31811071"/>
    <w:rsid w:val="318626AC"/>
    <w:rsid w:val="31A86376"/>
    <w:rsid w:val="31CA37A5"/>
    <w:rsid w:val="31CE7F2B"/>
    <w:rsid w:val="31D62F20"/>
    <w:rsid w:val="31F435B2"/>
    <w:rsid w:val="3200079B"/>
    <w:rsid w:val="32045B96"/>
    <w:rsid w:val="32150E36"/>
    <w:rsid w:val="32275A10"/>
    <w:rsid w:val="322F3434"/>
    <w:rsid w:val="323215B4"/>
    <w:rsid w:val="323D35EB"/>
    <w:rsid w:val="325720DD"/>
    <w:rsid w:val="32585128"/>
    <w:rsid w:val="325E739D"/>
    <w:rsid w:val="327106C7"/>
    <w:rsid w:val="32851DD7"/>
    <w:rsid w:val="328A68CA"/>
    <w:rsid w:val="32917612"/>
    <w:rsid w:val="32AE6047"/>
    <w:rsid w:val="32C4377F"/>
    <w:rsid w:val="32D83018"/>
    <w:rsid w:val="32DE467C"/>
    <w:rsid w:val="32F90691"/>
    <w:rsid w:val="330356B4"/>
    <w:rsid w:val="33313B23"/>
    <w:rsid w:val="3362363C"/>
    <w:rsid w:val="336261F1"/>
    <w:rsid w:val="33774D25"/>
    <w:rsid w:val="33841A7F"/>
    <w:rsid w:val="33965837"/>
    <w:rsid w:val="339B26BE"/>
    <w:rsid w:val="33A87113"/>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D235B5"/>
    <w:rsid w:val="34E010CD"/>
    <w:rsid w:val="34E32054"/>
    <w:rsid w:val="34FF1701"/>
    <w:rsid w:val="351B4C04"/>
    <w:rsid w:val="351D66CE"/>
    <w:rsid w:val="3522430E"/>
    <w:rsid w:val="352E0F08"/>
    <w:rsid w:val="35340596"/>
    <w:rsid w:val="35811005"/>
    <w:rsid w:val="35A506E1"/>
    <w:rsid w:val="35BF396F"/>
    <w:rsid w:val="35F72C7E"/>
    <w:rsid w:val="35F756F8"/>
    <w:rsid w:val="35FD3A56"/>
    <w:rsid w:val="35FF1ADE"/>
    <w:rsid w:val="360258DD"/>
    <w:rsid w:val="360D2591"/>
    <w:rsid w:val="361E456B"/>
    <w:rsid w:val="36240626"/>
    <w:rsid w:val="362D5ECB"/>
    <w:rsid w:val="362D6A7C"/>
    <w:rsid w:val="364044BF"/>
    <w:rsid w:val="364532AC"/>
    <w:rsid w:val="366339B0"/>
    <w:rsid w:val="366B0825"/>
    <w:rsid w:val="36747368"/>
    <w:rsid w:val="369F1362"/>
    <w:rsid w:val="36A8569B"/>
    <w:rsid w:val="36AC5EE8"/>
    <w:rsid w:val="36AF2969"/>
    <w:rsid w:val="36AF6E3D"/>
    <w:rsid w:val="36C8397C"/>
    <w:rsid w:val="36D10650"/>
    <w:rsid w:val="36D53214"/>
    <w:rsid w:val="36E20CB8"/>
    <w:rsid w:val="36F93D67"/>
    <w:rsid w:val="36FE21FA"/>
    <w:rsid w:val="37030692"/>
    <w:rsid w:val="37064D4E"/>
    <w:rsid w:val="370D150A"/>
    <w:rsid w:val="371871B4"/>
    <w:rsid w:val="378D40E6"/>
    <w:rsid w:val="37AA24DC"/>
    <w:rsid w:val="37B542B8"/>
    <w:rsid w:val="37B57AE4"/>
    <w:rsid w:val="37B77F1A"/>
    <w:rsid w:val="37BB068B"/>
    <w:rsid w:val="37D022B1"/>
    <w:rsid w:val="37FF30EC"/>
    <w:rsid w:val="38001947"/>
    <w:rsid w:val="381B582B"/>
    <w:rsid w:val="38817B7A"/>
    <w:rsid w:val="38B7208D"/>
    <w:rsid w:val="38C71CC1"/>
    <w:rsid w:val="390F4628"/>
    <w:rsid w:val="39315B32"/>
    <w:rsid w:val="39356AE9"/>
    <w:rsid w:val="393F7B5B"/>
    <w:rsid w:val="39422268"/>
    <w:rsid w:val="39486A96"/>
    <w:rsid w:val="395B4D61"/>
    <w:rsid w:val="396E5092"/>
    <w:rsid w:val="397E468A"/>
    <w:rsid w:val="399516FD"/>
    <w:rsid w:val="39AB4A8F"/>
    <w:rsid w:val="39AE07ED"/>
    <w:rsid w:val="39B53F76"/>
    <w:rsid w:val="39CA1F53"/>
    <w:rsid w:val="39D2630F"/>
    <w:rsid w:val="39DA6680"/>
    <w:rsid w:val="39EA01C2"/>
    <w:rsid w:val="3A2071EB"/>
    <w:rsid w:val="3A315109"/>
    <w:rsid w:val="3A39104D"/>
    <w:rsid w:val="3A5C2991"/>
    <w:rsid w:val="3A704B01"/>
    <w:rsid w:val="3A9E48B4"/>
    <w:rsid w:val="3AA10249"/>
    <w:rsid w:val="3AA66471"/>
    <w:rsid w:val="3AE61B59"/>
    <w:rsid w:val="3AEA276D"/>
    <w:rsid w:val="3AED3305"/>
    <w:rsid w:val="3AF706EA"/>
    <w:rsid w:val="3B020FAC"/>
    <w:rsid w:val="3B085156"/>
    <w:rsid w:val="3B0E01BA"/>
    <w:rsid w:val="3B2461CC"/>
    <w:rsid w:val="3B28330C"/>
    <w:rsid w:val="3B2F2682"/>
    <w:rsid w:val="3B3165C4"/>
    <w:rsid w:val="3B382CDA"/>
    <w:rsid w:val="3B5573A4"/>
    <w:rsid w:val="3B6B0E42"/>
    <w:rsid w:val="3BA82EDA"/>
    <w:rsid w:val="3BE15BDA"/>
    <w:rsid w:val="3C0401D8"/>
    <w:rsid w:val="3C124C08"/>
    <w:rsid w:val="3C1B340D"/>
    <w:rsid w:val="3C1F2DBD"/>
    <w:rsid w:val="3C256FCE"/>
    <w:rsid w:val="3C493D9B"/>
    <w:rsid w:val="3C5313A9"/>
    <w:rsid w:val="3C610568"/>
    <w:rsid w:val="3C8504BA"/>
    <w:rsid w:val="3C8B2C9C"/>
    <w:rsid w:val="3C983BA7"/>
    <w:rsid w:val="3CA63B84"/>
    <w:rsid w:val="3CC74820"/>
    <w:rsid w:val="3CEE33AC"/>
    <w:rsid w:val="3CF6002E"/>
    <w:rsid w:val="3D137280"/>
    <w:rsid w:val="3D235BD3"/>
    <w:rsid w:val="3D4034D4"/>
    <w:rsid w:val="3D4248AF"/>
    <w:rsid w:val="3D4C6CB4"/>
    <w:rsid w:val="3D582BF0"/>
    <w:rsid w:val="3D8F09F2"/>
    <w:rsid w:val="3D993C58"/>
    <w:rsid w:val="3DB65C42"/>
    <w:rsid w:val="3DB709FC"/>
    <w:rsid w:val="3DC13DCB"/>
    <w:rsid w:val="3DC34729"/>
    <w:rsid w:val="3DE4699F"/>
    <w:rsid w:val="3DE9747B"/>
    <w:rsid w:val="3E4271A0"/>
    <w:rsid w:val="3E4C0818"/>
    <w:rsid w:val="3E4D00F0"/>
    <w:rsid w:val="3E5F02EA"/>
    <w:rsid w:val="3E732338"/>
    <w:rsid w:val="3E833912"/>
    <w:rsid w:val="3EB337CD"/>
    <w:rsid w:val="3EC46393"/>
    <w:rsid w:val="3ECE2BEE"/>
    <w:rsid w:val="3ED32AE6"/>
    <w:rsid w:val="3EDE3A69"/>
    <w:rsid w:val="3EFB01C0"/>
    <w:rsid w:val="3F0C4FD3"/>
    <w:rsid w:val="3F856C8C"/>
    <w:rsid w:val="3F876778"/>
    <w:rsid w:val="3FA77761"/>
    <w:rsid w:val="3FB31940"/>
    <w:rsid w:val="3FCA54FF"/>
    <w:rsid w:val="40053AEF"/>
    <w:rsid w:val="400657B5"/>
    <w:rsid w:val="4012006B"/>
    <w:rsid w:val="40330DCE"/>
    <w:rsid w:val="403E113A"/>
    <w:rsid w:val="4042587D"/>
    <w:rsid w:val="40474563"/>
    <w:rsid w:val="40553E07"/>
    <w:rsid w:val="406F7959"/>
    <w:rsid w:val="407A7AA6"/>
    <w:rsid w:val="408653B6"/>
    <w:rsid w:val="40B1111B"/>
    <w:rsid w:val="40BD4B46"/>
    <w:rsid w:val="40C006C3"/>
    <w:rsid w:val="40C45E69"/>
    <w:rsid w:val="40D5217D"/>
    <w:rsid w:val="40DF1F6C"/>
    <w:rsid w:val="40FC75EC"/>
    <w:rsid w:val="41176346"/>
    <w:rsid w:val="41303D3A"/>
    <w:rsid w:val="41421392"/>
    <w:rsid w:val="414B0D5D"/>
    <w:rsid w:val="417F4D9D"/>
    <w:rsid w:val="41835BAC"/>
    <w:rsid w:val="419068A2"/>
    <w:rsid w:val="4192041B"/>
    <w:rsid w:val="41A50E7A"/>
    <w:rsid w:val="41A815C8"/>
    <w:rsid w:val="41BD079D"/>
    <w:rsid w:val="41BF7E2C"/>
    <w:rsid w:val="41D02EC0"/>
    <w:rsid w:val="41E92C8C"/>
    <w:rsid w:val="41EF4F88"/>
    <w:rsid w:val="41F5700A"/>
    <w:rsid w:val="41F71C6B"/>
    <w:rsid w:val="42185649"/>
    <w:rsid w:val="42207B94"/>
    <w:rsid w:val="42275EB8"/>
    <w:rsid w:val="422A2151"/>
    <w:rsid w:val="423B52EC"/>
    <w:rsid w:val="424E280C"/>
    <w:rsid w:val="4255521D"/>
    <w:rsid w:val="4266067E"/>
    <w:rsid w:val="42680BA7"/>
    <w:rsid w:val="426A5969"/>
    <w:rsid w:val="426E2453"/>
    <w:rsid w:val="4281684C"/>
    <w:rsid w:val="42C366DD"/>
    <w:rsid w:val="42DB3EE5"/>
    <w:rsid w:val="435436F6"/>
    <w:rsid w:val="4357696D"/>
    <w:rsid w:val="43583A4A"/>
    <w:rsid w:val="43734926"/>
    <w:rsid w:val="4380635F"/>
    <w:rsid w:val="43A632D7"/>
    <w:rsid w:val="43AE32C9"/>
    <w:rsid w:val="43B145E1"/>
    <w:rsid w:val="43BA6D47"/>
    <w:rsid w:val="43C90329"/>
    <w:rsid w:val="43E0440A"/>
    <w:rsid w:val="43E527DC"/>
    <w:rsid w:val="43E64688"/>
    <w:rsid w:val="43ED13E7"/>
    <w:rsid w:val="43ED353C"/>
    <w:rsid w:val="43EF0908"/>
    <w:rsid w:val="43F15ABD"/>
    <w:rsid w:val="440F33D3"/>
    <w:rsid w:val="4417132F"/>
    <w:rsid w:val="441B0D61"/>
    <w:rsid w:val="44405482"/>
    <w:rsid w:val="444C6970"/>
    <w:rsid w:val="446028B5"/>
    <w:rsid w:val="447E1A8F"/>
    <w:rsid w:val="447F3846"/>
    <w:rsid w:val="4496142D"/>
    <w:rsid w:val="449A231E"/>
    <w:rsid w:val="449A4F29"/>
    <w:rsid w:val="449E221E"/>
    <w:rsid w:val="44A07568"/>
    <w:rsid w:val="44C21817"/>
    <w:rsid w:val="44D267B4"/>
    <w:rsid w:val="44E809D4"/>
    <w:rsid w:val="44E94AE3"/>
    <w:rsid w:val="44EA53A8"/>
    <w:rsid w:val="453463E4"/>
    <w:rsid w:val="45634F37"/>
    <w:rsid w:val="45650C9F"/>
    <w:rsid w:val="45871E73"/>
    <w:rsid w:val="45915F0A"/>
    <w:rsid w:val="45A70D92"/>
    <w:rsid w:val="45B50800"/>
    <w:rsid w:val="45D47576"/>
    <w:rsid w:val="45D94F53"/>
    <w:rsid w:val="45DF3C7E"/>
    <w:rsid w:val="45E94EAA"/>
    <w:rsid w:val="463A23EA"/>
    <w:rsid w:val="46661936"/>
    <w:rsid w:val="466704E3"/>
    <w:rsid w:val="46736242"/>
    <w:rsid w:val="46826EF7"/>
    <w:rsid w:val="469251BB"/>
    <w:rsid w:val="46A0184F"/>
    <w:rsid w:val="46B12078"/>
    <w:rsid w:val="46BC2EF7"/>
    <w:rsid w:val="46C93F9D"/>
    <w:rsid w:val="46D13BE7"/>
    <w:rsid w:val="46DD7CBE"/>
    <w:rsid w:val="46E52D55"/>
    <w:rsid w:val="46FA6D60"/>
    <w:rsid w:val="470A789B"/>
    <w:rsid w:val="4728075D"/>
    <w:rsid w:val="472D68AA"/>
    <w:rsid w:val="47311A71"/>
    <w:rsid w:val="473D0F93"/>
    <w:rsid w:val="475C0117"/>
    <w:rsid w:val="476139E2"/>
    <w:rsid w:val="47652B4A"/>
    <w:rsid w:val="476D6176"/>
    <w:rsid w:val="47930BF3"/>
    <w:rsid w:val="47A709C3"/>
    <w:rsid w:val="47B739FD"/>
    <w:rsid w:val="47BF2FE6"/>
    <w:rsid w:val="47DA45F5"/>
    <w:rsid w:val="47E914D6"/>
    <w:rsid w:val="47EE6D8E"/>
    <w:rsid w:val="48053F12"/>
    <w:rsid w:val="481E1711"/>
    <w:rsid w:val="48363D2A"/>
    <w:rsid w:val="484518D0"/>
    <w:rsid w:val="48460C47"/>
    <w:rsid w:val="484A2839"/>
    <w:rsid w:val="48547FF8"/>
    <w:rsid w:val="487868EC"/>
    <w:rsid w:val="48902B79"/>
    <w:rsid w:val="48A01C24"/>
    <w:rsid w:val="48A56AA0"/>
    <w:rsid w:val="48A70052"/>
    <w:rsid w:val="48B56F97"/>
    <w:rsid w:val="48BA7453"/>
    <w:rsid w:val="48C44269"/>
    <w:rsid w:val="48D619D4"/>
    <w:rsid w:val="48DB5386"/>
    <w:rsid w:val="49057589"/>
    <w:rsid w:val="49115840"/>
    <w:rsid w:val="492249D4"/>
    <w:rsid w:val="492941E4"/>
    <w:rsid w:val="49457330"/>
    <w:rsid w:val="49570C5A"/>
    <w:rsid w:val="495B4EAD"/>
    <w:rsid w:val="49661B03"/>
    <w:rsid w:val="497D4FD1"/>
    <w:rsid w:val="49AD07BA"/>
    <w:rsid w:val="49B20276"/>
    <w:rsid w:val="49CE0433"/>
    <w:rsid w:val="4A0168FA"/>
    <w:rsid w:val="4A0B1B0D"/>
    <w:rsid w:val="4A222047"/>
    <w:rsid w:val="4A2328EA"/>
    <w:rsid w:val="4A2473CA"/>
    <w:rsid w:val="4A316D4E"/>
    <w:rsid w:val="4A6F77B6"/>
    <w:rsid w:val="4A787F9A"/>
    <w:rsid w:val="4A98074E"/>
    <w:rsid w:val="4A9C6D87"/>
    <w:rsid w:val="4A9F6D06"/>
    <w:rsid w:val="4AA407A2"/>
    <w:rsid w:val="4AAE4AF0"/>
    <w:rsid w:val="4AB9690E"/>
    <w:rsid w:val="4AC45213"/>
    <w:rsid w:val="4ACD385D"/>
    <w:rsid w:val="4AD84260"/>
    <w:rsid w:val="4AD87C0B"/>
    <w:rsid w:val="4AF96F0F"/>
    <w:rsid w:val="4B0E4872"/>
    <w:rsid w:val="4B1552CA"/>
    <w:rsid w:val="4B473C06"/>
    <w:rsid w:val="4B573495"/>
    <w:rsid w:val="4B5A3F42"/>
    <w:rsid w:val="4B6657BF"/>
    <w:rsid w:val="4B801B9C"/>
    <w:rsid w:val="4B892A61"/>
    <w:rsid w:val="4B8F1AD2"/>
    <w:rsid w:val="4B904CE5"/>
    <w:rsid w:val="4B9D24D6"/>
    <w:rsid w:val="4BA21F8A"/>
    <w:rsid w:val="4BB578B7"/>
    <w:rsid w:val="4BBC48B1"/>
    <w:rsid w:val="4BD923A6"/>
    <w:rsid w:val="4BDC085E"/>
    <w:rsid w:val="4BF91049"/>
    <w:rsid w:val="4C02686F"/>
    <w:rsid w:val="4C1C4D9E"/>
    <w:rsid w:val="4C1D24E0"/>
    <w:rsid w:val="4C233CD3"/>
    <w:rsid w:val="4C240A84"/>
    <w:rsid w:val="4C324360"/>
    <w:rsid w:val="4C3A5AD2"/>
    <w:rsid w:val="4C5A560F"/>
    <w:rsid w:val="4C7C5DB6"/>
    <w:rsid w:val="4C8E7E04"/>
    <w:rsid w:val="4C9125A3"/>
    <w:rsid w:val="4CA31D2A"/>
    <w:rsid w:val="4CA82E2C"/>
    <w:rsid w:val="4CBB052F"/>
    <w:rsid w:val="4CCB4264"/>
    <w:rsid w:val="4CD01643"/>
    <w:rsid w:val="4CD2257B"/>
    <w:rsid w:val="4CD4605E"/>
    <w:rsid w:val="4CE919AF"/>
    <w:rsid w:val="4D2003C7"/>
    <w:rsid w:val="4D306077"/>
    <w:rsid w:val="4D3D5DE3"/>
    <w:rsid w:val="4D6A6093"/>
    <w:rsid w:val="4D6F1420"/>
    <w:rsid w:val="4D736FC5"/>
    <w:rsid w:val="4DF7667D"/>
    <w:rsid w:val="4DF830FD"/>
    <w:rsid w:val="4E0133B8"/>
    <w:rsid w:val="4E0F7880"/>
    <w:rsid w:val="4E1A71B3"/>
    <w:rsid w:val="4E245182"/>
    <w:rsid w:val="4E3655AC"/>
    <w:rsid w:val="4E4553E9"/>
    <w:rsid w:val="4E7B36E9"/>
    <w:rsid w:val="4EAC5886"/>
    <w:rsid w:val="4ECB786C"/>
    <w:rsid w:val="4ED4056B"/>
    <w:rsid w:val="4EF53B4B"/>
    <w:rsid w:val="4F0B72FE"/>
    <w:rsid w:val="4F107FFD"/>
    <w:rsid w:val="4F1D371F"/>
    <w:rsid w:val="4F2178B4"/>
    <w:rsid w:val="4F22406F"/>
    <w:rsid w:val="4F572D9B"/>
    <w:rsid w:val="4F7E31D4"/>
    <w:rsid w:val="4F855F30"/>
    <w:rsid w:val="4F891F33"/>
    <w:rsid w:val="4F8D46D4"/>
    <w:rsid w:val="4FBA7D8E"/>
    <w:rsid w:val="4FC37299"/>
    <w:rsid w:val="4FC37AD4"/>
    <w:rsid w:val="4FC50C6E"/>
    <w:rsid w:val="4FF63534"/>
    <w:rsid w:val="4FF6779A"/>
    <w:rsid w:val="50142239"/>
    <w:rsid w:val="502D1F9C"/>
    <w:rsid w:val="502E379C"/>
    <w:rsid w:val="503333EE"/>
    <w:rsid w:val="50402D59"/>
    <w:rsid w:val="504C6D58"/>
    <w:rsid w:val="506A628A"/>
    <w:rsid w:val="506B32A8"/>
    <w:rsid w:val="507070C2"/>
    <w:rsid w:val="5085419D"/>
    <w:rsid w:val="50CD18F3"/>
    <w:rsid w:val="50DA2806"/>
    <w:rsid w:val="50E21BB2"/>
    <w:rsid w:val="50E908DE"/>
    <w:rsid w:val="50F44EBE"/>
    <w:rsid w:val="50FF6220"/>
    <w:rsid w:val="512011FD"/>
    <w:rsid w:val="512F439E"/>
    <w:rsid w:val="515A1CDE"/>
    <w:rsid w:val="51641F3F"/>
    <w:rsid w:val="51732DF8"/>
    <w:rsid w:val="5175467C"/>
    <w:rsid w:val="518B3E8F"/>
    <w:rsid w:val="519B1B13"/>
    <w:rsid w:val="519B563F"/>
    <w:rsid w:val="51C5430D"/>
    <w:rsid w:val="51C96161"/>
    <w:rsid w:val="51DD369E"/>
    <w:rsid w:val="51ED646C"/>
    <w:rsid w:val="51F24FE3"/>
    <w:rsid w:val="52040985"/>
    <w:rsid w:val="52185C71"/>
    <w:rsid w:val="52290B05"/>
    <w:rsid w:val="523A7757"/>
    <w:rsid w:val="52582D49"/>
    <w:rsid w:val="52594C97"/>
    <w:rsid w:val="5264359A"/>
    <w:rsid w:val="526B455E"/>
    <w:rsid w:val="526C1D2D"/>
    <w:rsid w:val="527D5751"/>
    <w:rsid w:val="5292758F"/>
    <w:rsid w:val="52C14411"/>
    <w:rsid w:val="52DC3977"/>
    <w:rsid w:val="52E23AEE"/>
    <w:rsid w:val="52F87EDE"/>
    <w:rsid w:val="53015C6B"/>
    <w:rsid w:val="5303385D"/>
    <w:rsid w:val="53081056"/>
    <w:rsid w:val="532C7C1D"/>
    <w:rsid w:val="53365C43"/>
    <w:rsid w:val="5351076F"/>
    <w:rsid w:val="5358066D"/>
    <w:rsid w:val="536D10F7"/>
    <w:rsid w:val="53744B4F"/>
    <w:rsid w:val="53884F66"/>
    <w:rsid w:val="53BC380A"/>
    <w:rsid w:val="53CD37DD"/>
    <w:rsid w:val="53D526A0"/>
    <w:rsid w:val="53DA7A1B"/>
    <w:rsid w:val="53E14982"/>
    <w:rsid w:val="53E62826"/>
    <w:rsid w:val="53FB52CF"/>
    <w:rsid w:val="5424586C"/>
    <w:rsid w:val="5424771D"/>
    <w:rsid w:val="544D5BA5"/>
    <w:rsid w:val="54815686"/>
    <w:rsid w:val="549778BD"/>
    <w:rsid w:val="54A74548"/>
    <w:rsid w:val="54C136A7"/>
    <w:rsid w:val="54C15751"/>
    <w:rsid w:val="54D86754"/>
    <w:rsid w:val="551A665B"/>
    <w:rsid w:val="551E286C"/>
    <w:rsid w:val="552C0336"/>
    <w:rsid w:val="55345814"/>
    <w:rsid w:val="553B1FF4"/>
    <w:rsid w:val="554124AE"/>
    <w:rsid w:val="55711F1D"/>
    <w:rsid w:val="557C37F0"/>
    <w:rsid w:val="55855731"/>
    <w:rsid w:val="55A44928"/>
    <w:rsid w:val="55AE5732"/>
    <w:rsid w:val="55B73510"/>
    <w:rsid w:val="55CE550C"/>
    <w:rsid w:val="55D65368"/>
    <w:rsid w:val="55DA3793"/>
    <w:rsid w:val="55EA6E29"/>
    <w:rsid w:val="560F1930"/>
    <w:rsid w:val="564659C3"/>
    <w:rsid w:val="56595FCF"/>
    <w:rsid w:val="565C5CE0"/>
    <w:rsid w:val="56636EF2"/>
    <w:rsid w:val="56670542"/>
    <w:rsid w:val="567558D8"/>
    <w:rsid w:val="567C14B2"/>
    <w:rsid w:val="56917139"/>
    <w:rsid w:val="56973E60"/>
    <w:rsid w:val="569E0626"/>
    <w:rsid w:val="569E2151"/>
    <w:rsid w:val="56A6391E"/>
    <w:rsid w:val="56BF4567"/>
    <w:rsid w:val="56E2460C"/>
    <w:rsid w:val="56EA0A47"/>
    <w:rsid w:val="56EA5543"/>
    <w:rsid w:val="56F41F92"/>
    <w:rsid w:val="573408EA"/>
    <w:rsid w:val="57366124"/>
    <w:rsid w:val="574E1331"/>
    <w:rsid w:val="575D30DD"/>
    <w:rsid w:val="57895448"/>
    <w:rsid w:val="57960862"/>
    <w:rsid w:val="5798538A"/>
    <w:rsid w:val="57AE10AD"/>
    <w:rsid w:val="57BC4C9C"/>
    <w:rsid w:val="57DF5E84"/>
    <w:rsid w:val="57EC3789"/>
    <w:rsid w:val="581B6703"/>
    <w:rsid w:val="586B784A"/>
    <w:rsid w:val="58845148"/>
    <w:rsid w:val="58981D89"/>
    <w:rsid w:val="58B60913"/>
    <w:rsid w:val="58C73C0F"/>
    <w:rsid w:val="58CA4882"/>
    <w:rsid w:val="58DB6122"/>
    <w:rsid w:val="593123F4"/>
    <w:rsid w:val="594475B9"/>
    <w:rsid w:val="5957181C"/>
    <w:rsid w:val="5993415C"/>
    <w:rsid w:val="59A81B2F"/>
    <w:rsid w:val="59B147B5"/>
    <w:rsid w:val="59D27A71"/>
    <w:rsid w:val="59D51C1B"/>
    <w:rsid w:val="59D66659"/>
    <w:rsid w:val="59E30342"/>
    <w:rsid w:val="59EE3BAB"/>
    <w:rsid w:val="5A056BFD"/>
    <w:rsid w:val="5A500891"/>
    <w:rsid w:val="5A601291"/>
    <w:rsid w:val="5A702CA7"/>
    <w:rsid w:val="5A8B570E"/>
    <w:rsid w:val="5AA97954"/>
    <w:rsid w:val="5AAB3166"/>
    <w:rsid w:val="5AC04993"/>
    <w:rsid w:val="5AC61DB0"/>
    <w:rsid w:val="5AC703B1"/>
    <w:rsid w:val="5AE348E5"/>
    <w:rsid w:val="5AF406D6"/>
    <w:rsid w:val="5B0573CF"/>
    <w:rsid w:val="5B4C2BE0"/>
    <w:rsid w:val="5B745DC2"/>
    <w:rsid w:val="5B886A6B"/>
    <w:rsid w:val="5B9073BF"/>
    <w:rsid w:val="5B9668E2"/>
    <w:rsid w:val="5B9A59C3"/>
    <w:rsid w:val="5BD26579"/>
    <w:rsid w:val="5BD45145"/>
    <w:rsid w:val="5BD61556"/>
    <w:rsid w:val="5BF749D7"/>
    <w:rsid w:val="5C02590C"/>
    <w:rsid w:val="5C0D4790"/>
    <w:rsid w:val="5C526298"/>
    <w:rsid w:val="5C6D57D9"/>
    <w:rsid w:val="5C6F6A08"/>
    <w:rsid w:val="5C892FCB"/>
    <w:rsid w:val="5CBC4995"/>
    <w:rsid w:val="5D0500B8"/>
    <w:rsid w:val="5D0513F5"/>
    <w:rsid w:val="5D1A5393"/>
    <w:rsid w:val="5D1B0C87"/>
    <w:rsid w:val="5D326378"/>
    <w:rsid w:val="5D372F66"/>
    <w:rsid w:val="5DA24B78"/>
    <w:rsid w:val="5DAB6FCD"/>
    <w:rsid w:val="5DCF4070"/>
    <w:rsid w:val="5DD45B7B"/>
    <w:rsid w:val="5DDB1DDC"/>
    <w:rsid w:val="5DF9398D"/>
    <w:rsid w:val="5DFE1F35"/>
    <w:rsid w:val="5E095FD6"/>
    <w:rsid w:val="5E24434B"/>
    <w:rsid w:val="5E3C2AC9"/>
    <w:rsid w:val="5E3C6D4A"/>
    <w:rsid w:val="5E5D258D"/>
    <w:rsid w:val="5E6704E7"/>
    <w:rsid w:val="5E7E3F64"/>
    <w:rsid w:val="5E821D61"/>
    <w:rsid w:val="5EA209B1"/>
    <w:rsid w:val="5EA3465D"/>
    <w:rsid w:val="5ECD1471"/>
    <w:rsid w:val="5EE744DE"/>
    <w:rsid w:val="5F050C77"/>
    <w:rsid w:val="5F25133A"/>
    <w:rsid w:val="5F25432A"/>
    <w:rsid w:val="5F944B25"/>
    <w:rsid w:val="5F9C6EBA"/>
    <w:rsid w:val="5FB03D28"/>
    <w:rsid w:val="5FB33285"/>
    <w:rsid w:val="5FCE51B0"/>
    <w:rsid w:val="5FD73269"/>
    <w:rsid w:val="5FF955B8"/>
    <w:rsid w:val="60050B91"/>
    <w:rsid w:val="60280B93"/>
    <w:rsid w:val="60445E9C"/>
    <w:rsid w:val="604A2B76"/>
    <w:rsid w:val="604E6B79"/>
    <w:rsid w:val="6050306B"/>
    <w:rsid w:val="605F6A3E"/>
    <w:rsid w:val="606A4DD2"/>
    <w:rsid w:val="606E4587"/>
    <w:rsid w:val="607920A4"/>
    <w:rsid w:val="608224E7"/>
    <w:rsid w:val="60A7668C"/>
    <w:rsid w:val="60AF4C6F"/>
    <w:rsid w:val="60C34628"/>
    <w:rsid w:val="60E174E9"/>
    <w:rsid w:val="60EA0E46"/>
    <w:rsid w:val="60F11ACC"/>
    <w:rsid w:val="61005095"/>
    <w:rsid w:val="610B26BE"/>
    <w:rsid w:val="612352D2"/>
    <w:rsid w:val="612562F1"/>
    <w:rsid w:val="612C5573"/>
    <w:rsid w:val="613C78BF"/>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392165"/>
    <w:rsid w:val="624F2049"/>
    <w:rsid w:val="626B6B7B"/>
    <w:rsid w:val="62735C4D"/>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E1D9B"/>
    <w:rsid w:val="63B05B43"/>
    <w:rsid w:val="63C00CA9"/>
    <w:rsid w:val="63C076CA"/>
    <w:rsid w:val="63D1219F"/>
    <w:rsid w:val="63D17139"/>
    <w:rsid w:val="63ED7F49"/>
    <w:rsid w:val="63F54F01"/>
    <w:rsid w:val="6403179D"/>
    <w:rsid w:val="640A2B01"/>
    <w:rsid w:val="64482382"/>
    <w:rsid w:val="64514906"/>
    <w:rsid w:val="64515ABF"/>
    <w:rsid w:val="647841EA"/>
    <w:rsid w:val="6482448D"/>
    <w:rsid w:val="649C4622"/>
    <w:rsid w:val="64B571FC"/>
    <w:rsid w:val="64D27E30"/>
    <w:rsid w:val="64DB34EA"/>
    <w:rsid w:val="65025C93"/>
    <w:rsid w:val="65041524"/>
    <w:rsid w:val="65125EED"/>
    <w:rsid w:val="65175291"/>
    <w:rsid w:val="654950EA"/>
    <w:rsid w:val="655239D8"/>
    <w:rsid w:val="655C66E5"/>
    <w:rsid w:val="657129A7"/>
    <w:rsid w:val="657C22D7"/>
    <w:rsid w:val="657E6A00"/>
    <w:rsid w:val="658F5827"/>
    <w:rsid w:val="659323E7"/>
    <w:rsid w:val="65A258EE"/>
    <w:rsid w:val="65B11D28"/>
    <w:rsid w:val="66210722"/>
    <w:rsid w:val="66437915"/>
    <w:rsid w:val="667337A9"/>
    <w:rsid w:val="66743387"/>
    <w:rsid w:val="6680013B"/>
    <w:rsid w:val="669C061B"/>
    <w:rsid w:val="66AA76F2"/>
    <w:rsid w:val="66D05609"/>
    <w:rsid w:val="66D3237B"/>
    <w:rsid w:val="66E71606"/>
    <w:rsid w:val="66F80F5E"/>
    <w:rsid w:val="66F92B4F"/>
    <w:rsid w:val="67166EC5"/>
    <w:rsid w:val="67210094"/>
    <w:rsid w:val="67336828"/>
    <w:rsid w:val="673F1301"/>
    <w:rsid w:val="674B3726"/>
    <w:rsid w:val="675E1C55"/>
    <w:rsid w:val="676A31F2"/>
    <w:rsid w:val="67712305"/>
    <w:rsid w:val="67727873"/>
    <w:rsid w:val="67736FEC"/>
    <w:rsid w:val="679223C5"/>
    <w:rsid w:val="67AA35E9"/>
    <w:rsid w:val="67EC2A68"/>
    <w:rsid w:val="67F35ECB"/>
    <w:rsid w:val="67FF6628"/>
    <w:rsid w:val="680C4197"/>
    <w:rsid w:val="68161A4C"/>
    <w:rsid w:val="683C725A"/>
    <w:rsid w:val="68524342"/>
    <w:rsid w:val="68592842"/>
    <w:rsid w:val="685F0CCE"/>
    <w:rsid w:val="686167C2"/>
    <w:rsid w:val="687B2943"/>
    <w:rsid w:val="6883200C"/>
    <w:rsid w:val="689265B7"/>
    <w:rsid w:val="689E6169"/>
    <w:rsid w:val="68A012E7"/>
    <w:rsid w:val="68B73C34"/>
    <w:rsid w:val="68C107A0"/>
    <w:rsid w:val="68D26D24"/>
    <w:rsid w:val="68E55AD1"/>
    <w:rsid w:val="68EC2B10"/>
    <w:rsid w:val="68F67F71"/>
    <w:rsid w:val="69170944"/>
    <w:rsid w:val="691A4A6A"/>
    <w:rsid w:val="691E7351"/>
    <w:rsid w:val="694C4E0F"/>
    <w:rsid w:val="69545358"/>
    <w:rsid w:val="6965570D"/>
    <w:rsid w:val="697F5294"/>
    <w:rsid w:val="698A51F6"/>
    <w:rsid w:val="698A76FD"/>
    <w:rsid w:val="699843B9"/>
    <w:rsid w:val="699957CD"/>
    <w:rsid w:val="69D54202"/>
    <w:rsid w:val="69DA5F5C"/>
    <w:rsid w:val="69F6462C"/>
    <w:rsid w:val="6A1D1AFD"/>
    <w:rsid w:val="6A32535E"/>
    <w:rsid w:val="6A417AA1"/>
    <w:rsid w:val="6A475884"/>
    <w:rsid w:val="6A4B5A60"/>
    <w:rsid w:val="6A6062D1"/>
    <w:rsid w:val="6A6F4803"/>
    <w:rsid w:val="6A7D143E"/>
    <w:rsid w:val="6A7F581D"/>
    <w:rsid w:val="6A9A08C6"/>
    <w:rsid w:val="6ABD20F1"/>
    <w:rsid w:val="6AD251D6"/>
    <w:rsid w:val="6AF808BE"/>
    <w:rsid w:val="6AFE540C"/>
    <w:rsid w:val="6B015D35"/>
    <w:rsid w:val="6B024C5F"/>
    <w:rsid w:val="6B200B90"/>
    <w:rsid w:val="6B3F0BA9"/>
    <w:rsid w:val="6B474827"/>
    <w:rsid w:val="6B4832CE"/>
    <w:rsid w:val="6B511BD5"/>
    <w:rsid w:val="6B62080F"/>
    <w:rsid w:val="6B6E1603"/>
    <w:rsid w:val="6B7178EF"/>
    <w:rsid w:val="6B7211DE"/>
    <w:rsid w:val="6B733E20"/>
    <w:rsid w:val="6BAC208A"/>
    <w:rsid w:val="6BAC63E0"/>
    <w:rsid w:val="6BB66D0F"/>
    <w:rsid w:val="6BD42E6C"/>
    <w:rsid w:val="6BF13291"/>
    <w:rsid w:val="6BF924D9"/>
    <w:rsid w:val="6C102C41"/>
    <w:rsid w:val="6C130944"/>
    <w:rsid w:val="6C1E3605"/>
    <w:rsid w:val="6C3309F1"/>
    <w:rsid w:val="6C5171FD"/>
    <w:rsid w:val="6C672E31"/>
    <w:rsid w:val="6C8C1428"/>
    <w:rsid w:val="6C8E04D6"/>
    <w:rsid w:val="6C993F99"/>
    <w:rsid w:val="6CA2751B"/>
    <w:rsid w:val="6CB61EDC"/>
    <w:rsid w:val="6CBB26DD"/>
    <w:rsid w:val="6CBE2A6F"/>
    <w:rsid w:val="6CC12308"/>
    <w:rsid w:val="6CCD2831"/>
    <w:rsid w:val="6CF02768"/>
    <w:rsid w:val="6CF1468D"/>
    <w:rsid w:val="6D1839B1"/>
    <w:rsid w:val="6D432570"/>
    <w:rsid w:val="6D483E57"/>
    <w:rsid w:val="6D54452B"/>
    <w:rsid w:val="6D5C0837"/>
    <w:rsid w:val="6D6055A3"/>
    <w:rsid w:val="6DBE1290"/>
    <w:rsid w:val="6DC914C4"/>
    <w:rsid w:val="6DDC7F86"/>
    <w:rsid w:val="6E080FE0"/>
    <w:rsid w:val="6E0D26AB"/>
    <w:rsid w:val="6E2022F3"/>
    <w:rsid w:val="6E3B3401"/>
    <w:rsid w:val="6E3E10DC"/>
    <w:rsid w:val="6E69199B"/>
    <w:rsid w:val="6E9117D5"/>
    <w:rsid w:val="6EBD577A"/>
    <w:rsid w:val="6EC14170"/>
    <w:rsid w:val="6EDE285D"/>
    <w:rsid w:val="6EE04014"/>
    <w:rsid w:val="6EE476C0"/>
    <w:rsid w:val="6EE558A8"/>
    <w:rsid w:val="6F167990"/>
    <w:rsid w:val="6F1C2241"/>
    <w:rsid w:val="6F2D3E96"/>
    <w:rsid w:val="6F477BDB"/>
    <w:rsid w:val="6F6656FD"/>
    <w:rsid w:val="6F713E95"/>
    <w:rsid w:val="6F7B76F7"/>
    <w:rsid w:val="6F83000E"/>
    <w:rsid w:val="6FC83DA4"/>
    <w:rsid w:val="6FFA5BA8"/>
    <w:rsid w:val="703B3BFC"/>
    <w:rsid w:val="70456902"/>
    <w:rsid w:val="704E6B13"/>
    <w:rsid w:val="705868EE"/>
    <w:rsid w:val="70984A9D"/>
    <w:rsid w:val="70A006F5"/>
    <w:rsid w:val="70B351A9"/>
    <w:rsid w:val="70B90292"/>
    <w:rsid w:val="70B97F01"/>
    <w:rsid w:val="70FD19B1"/>
    <w:rsid w:val="7142520F"/>
    <w:rsid w:val="714C61F5"/>
    <w:rsid w:val="715E244A"/>
    <w:rsid w:val="7177196F"/>
    <w:rsid w:val="71890319"/>
    <w:rsid w:val="718F77F7"/>
    <w:rsid w:val="71A8332A"/>
    <w:rsid w:val="71BF0E37"/>
    <w:rsid w:val="71CB1078"/>
    <w:rsid w:val="71F202C2"/>
    <w:rsid w:val="72A57793"/>
    <w:rsid w:val="72B56EEF"/>
    <w:rsid w:val="72D1391C"/>
    <w:rsid w:val="72DB254B"/>
    <w:rsid w:val="72DE1017"/>
    <w:rsid w:val="730F65B9"/>
    <w:rsid w:val="731E5A43"/>
    <w:rsid w:val="73445DCA"/>
    <w:rsid w:val="73566852"/>
    <w:rsid w:val="73797A10"/>
    <w:rsid w:val="738A1606"/>
    <w:rsid w:val="738E76A4"/>
    <w:rsid w:val="73DF1C2D"/>
    <w:rsid w:val="73F50BCB"/>
    <w:rsid w:val="73FB161F"/>
    <w:rsid w:val="740E0FBA"/>
    <w:rsid w:val="7413358A"/>
    <w:rsid w:val="741E1946"/>
    <w:rsid w:val="743C4162"/>
    <w:rsid w:val="74433B93"/>
    <w:rsid w:val="744B00D6"/>
    <w:rsid w:val="746E42F6"/>
    <w:rsid w:val="74860E62"/>
    <w:rsid w:val="74880036"/>
    <w:rsid w:val="74963132"/>
    <w:rsid w:val="74B96A42"/>
    <w:rsid w:val="74C80246"/>
    <w:rsid w:val="74CD27B7"/>
    <w:rsid w:val="74D16F68"/>
    <w:rsid w:val="74D52EBA"/>
    <w:rsid w:val="74E124F8"/>
    <w:rsid w:val="750220D2"/>
    <w:rsid w:val="750D4773"/>
    <w:rsid w:val="750F1440"/>
    <w:rsid w:val="751E7E53"/>
    <w:rsid w:val="75263471"/>
    <w:rsid w:val="752E1C4C"/>
    <w:rsid w:val="7548473E"/>
    <w:rsid w:val="7557307C"/>
    <w:rsid w:val="756105B7"/>
    <w:rsid w:val="75666FB1"/>
    <w:rsid w:val="756675FA"/>
    <w:rsid w:val="757A6592"/>
    <w:rsid w:val="757E70E6"/>
    <w:rsid w:val="75A66CA4"/>
    <w:rsid w:val="75B27A3C"/>
    <w:rsid w:val="75C3677F"/>
    <w:rsid w:val="75D42472"/>
    <w:rsid w:val="75D50149"/>
    <w:rsid w:val="75D85802"/>
    <w:rsid w:val="75E609D5"/>
    <w:rsid w:val="75F071FE"/>
    <w:rsid w:val="75F25A92"/>
    <w:rsid w:val="75FE1174"/>
    <w:rsid w:val="76277A41"/>
    <w:rsid w:val="76353233"/>
    <w:rsid w:val="76392A92"/>
    <w:rsid w:val="763E7DAB"/>
    <w:rsid w:val="76437492"/>
    <w:rsid w:val="76617C75"/>
    <w:rsid w:val="767D2A6D"/>
    <w:rsid w:val="767E34F8"/>
    <w:rsid w:val="768C25BD"/>
    <w:rsid w:val="76DB1F5D"/>
    <w:rsid w:val="77033AF5"/>
    <w:rsid w:val="772D44B9"/>
    <w:rsid w:val="772D5858"/>
    <w:rsid w:val="77453DDC"/>
    <w:rsid w:val="776F0A56"/>
    <w:rsid w:val="77735A82"/>
    <w:rsid w:val="77784943"/>
    <w:rsid w:val="77787755"/>
    <w:rsid w:val="777C19DA"/>
    <w:rsid w:val="778A0D23"/>
    <w:rsid w:val="77980418"/>
    <w:rsid w:val="77A05274"/>
    <w:rsid w:val="77A23B52"/>
    <w:rsid w:val="77A808C3"/>
    <w:rsid w:val="77AF0451"/>
    <w:rsid w:val="77CA7BAA"/>
    <w:rsid w:val="77D26599"/>
    <w:rsid w:val="77DC041B"/>
    <w:rsid w:val="77E96BCE"/>
    <w:rsid w:val="77EE202C"/>
    <w:rsid w:val="77FA1893"/>
    <w:rsid w:val="7803707F"/>
    <w:rsid w:val="781864EA"/>
    <w:rsid w:val="781F6EAD"/>
    <w:rsid w:val="782D7D2B"/>
    <w:rsid w:val="783915FE"/>
    <w:rsid w:val="78537DC5"/>
    <w:rsid w:val="78575483"/>
    <w:rsid w:val="78705AFA"/>
    <w:rsid w:val="787A44E9"/>
    <w:rsid w:val="788B586B"/>
    <w:rsid w:val="78A63666"/>
    <w:rsid w:val="78C54FC9"/>
    <w:rsid w:val="78C91464"/>
    <w:rsid w:val="78D43C48"/>
    <w:rsid w:val="78E439FC"/>
    <w:rsid w:val="78EE6681"/>
    <w:rsid w:val="78FF6B3A"/>
    <w:rsid w:val="79100A4F"/>
    <w:rsid w:val="791453EC"/>
    <w:rsid w:val="792623CF"/>
    <w:rsid w:val="793877D8"/>
    <w:rsid w:val="796B589E"/>
    <w:rsid w:val="79884AE9"/>
    <w:rsid w:val="79C05315"/>
    <w:rsid w:val="79CD1180"/>
    <w:rsid w:val="79EE23A8"/>
    <w:rsid w:val="79EF76D4"/>
    <w:rsid w:val="7A072E1B"/>
    <w:rsid w:val="7A0F12E6"/>
    <w:rsid w:val="7A25070C"/>
    <w:rsid w:val="7A3A33AB"/>
    <w:rsid w:val="7A443267"/>
    <w:rsid w:val="7A522DA5"/>
    <w:rsid w:val="7A5A7780"/>
    <w:rsid w:val="7A6C0BA8"/>
    <w:rsid w:val="7A6F2FA2"/>
    <w:rsid w:val="7A752EC9"/>
    <w:rsid w:val="7A824C3A"/>
    <w:rsid w:val="7A984112"/>
    <w:rsid w:val="7AC16DC2"/>
    <w:rsid w:val="7AF11F71"/>
    <w:rsid w:val="7AF12739"/>
    <w:rsid w:val="7AFA4E78"/>
    <w:rsid w:val="7AFE4C08"/>
    <w:rsid w:val="7B022868"/>
    <w:rsid w:val="7B1D37E9"/>
    <w:rsid w:val="7B3103E1"/>
    <w:rsid w:val="7B51571F"/>
    <w:rsid w:val="7B7E5459"/>
    <w:rsid w:val="7B8874D6"/>
    <w:rsid w:val="7BA27F9C"/>
    <w:rsid w:val="7BA40FFB"/>
    <w:rsid w:val="7BB8027E"/>
    <w:rsid w:val="7BC7231A"/>
    <w:rsid w:val="7BD7125A"/>
    <w:rsid w:val="7BEA7F06"/>
    <w:rsid w:val="7BEB15BF"/>
    <w:rsid w:val="7C1576DC"/>
    <w:rsid w:val="7C461BA7"/>
    <w:rsid w:val="7C593BEF"/>
    <w:rsid w:val="7C5A71C2"/>
    <w:rsid w:val="7C6273EB"/>
    <w:rsid w:val="7C6D5A3A"/>
    <w:rsid w:val="7C6F7A0C"/>
    <w:rsid w:val="7C730D95"/>
    <w:rsid w:val="7C811ABB"/>
    <w:rsid w:val="7C8D2C99"/>
    <w:rsid w:val="7C9C0220"/>
    <w:rsid w:val="7CE57617"/>
    <w:rsid w:val="7CE87AF5"/>
    <w:rsid w:val="7D0A7C90"/>
    <w:rsid w:val="7D151FAD"/>
    <w:rsid w:val="7D27198C"/>
    <w:rsid w:val="7D2C698E"/>
    <w:rsid w:val="7D431CAB"/>
    <w:rsid w:val="7D6E5376"/>
    <w:rsid w:val="7D9660B9"/>
    <w:rsid w:val="7D9E0355"/>
    <w:rsid w:val="7D9F45CF"/>
    <w:rsid w:val="7DC51FB6"/>
    <w:rsid w:val="7DE03C2C"/>
    <w:rsid w:val="7DFA0341"/>
    <w:rsid w:val="7DFF7FDA"/>
    <w:rsid w:val="7E3C48CF"/>
    <w:rsid w:val="7E411EF5"/>
    <w:rsid w:val="7E426C40"/>
    <w:rsid w:val="7E43770C"/>
    <w:rsid w:val="7E5346B8"/>
    <w:rsid w:val="7E6B6C8A"/>
    <w:rsid w:val="7E6B77EA"/>
    <w:rsid w:val="7E6C0F85"/>
    <w:rsid w:val="7E772B20"/>
    <w:rsid w:val="7E8C186F"/>
    <w:rsid w:val="7EAC6168"/>
    <w:rsid w:val="7EBD3B2B"/>
    <w:rsid w:val="7EC218D0"/>
    <w:rsid w:val="7EE34D80"/>
    <w:rsid w:val="7EE52193"/>
    <w:rsid w:val="7EEF34CE"/>
    <w:rsid w:val="7EF21537"/>
    <w:rsid w:val="7EF53B35"/>
    <w:rsid w:val="7EFC093A"/>
    <w:rsid w:val="7EFF2BDC"/>
    <w:rsid w:val="7F004C99"/>
    <w:rsid w:val="7F095CDC"/>
    <w:rsid w:val="7F354383"/>
    <w:rsid w:val="7F355FB5"/>
    <w:rsid w:val="7F423106"/>
    <w:rsid w:val="7F72403E"/>
    <w:rsid w:val="7F734F41"/>
    <w:rsid w:val="7F7B1610"/>
    <w:rsid w:val="7FA44F86"/>
    <w:rsid w:val="7FD37BEC"/>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Times New Roman" w:hAnsi="Times New Roman" w:eastAsia="宋体" w:cs="Arial"/>
      <w:b/>
      <w:bCs/>
      <w:iCs/>
      <w:sz w:val="24"/>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sz w:val="24"/>
      <w:szCs w:val="26"/>
    </w:rPr>
  </w:style>
  <w:style w:type="paragraph" w:styleId="5">
    <w:name w:val="heading 4"/>
    <w:basedOn w:val="4"/>
    <w:next w:val="1"/>
    <w:link w:val="45"/>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40"/>
    <w:qFormat/>
    <w:uiPriority w:val="0"/>
    <w:rPr>
      <w:b/>
      <w:bCs/>
    </w:rPr>
  </w:style>
  <w:style w:type="paragraph" w:styleId="17">
    <w:name w:val="List Bullet"/>
    <w:basedOn w:val="18"/>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8">
    <w:name w:val="Body Text"/>
    <w:basedOn w:val="1"/>
    <w:link w:val="103"/>
    <w:qFormat/>
    <w:uiPriority w:val="0"/>
    <w:pPr>
      <w:overflowPunct/>
      <w:autoSpaceDE/>
      <w:autoSpaceDN/>
      <w:adjustRightInd/>
      <w:textAlignment w:val="auto"/>
    </w:pPr>
    <w:rPr>
      <w:rFonts w:eastAsia="MS Mincho"/>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link w:val="46"/>
    <w:unhideWhenUsed/>
    <w:qFormat/>
    <w:uiPriority w:val="0"/>
  </w:style>
  <w:style w:type="paragraph" w:styleId="21">
    <w:name w:val="Body Text Indent"/>
    <w:basedOn w:val="1"/>
    <w:qFormat/>
    <w:uiPriority w:val="0"/>
    <w:pPr>
      <w:spacing w:after="120"/>
      <w:ind w:left="283"/>
    </w:pPr>
  </w:style>
  <w:style w:type="paragraph" w:styleId="22">
    <w:name w:val="Balloon Text"/>
    <w:basedOn w:val="1"/>
    <w:link w:val="39"/>
    <w:unhideWhenUsed/>
    <w:qFormat/>
    <w:uiPriority w:val="99"/>
    <w:pPr>
      <w:spacing w:after="0"/>
    </w:pPr>
    <w:rPr>
      <w:rFonts w:ascii="Tahoma" w:hAnsi="Tahoma" w:cs="Tahoma"/>
      <w:sz w:val="16"/>
      <w:szCs w:val="16"/>
    </w:rPr>
  </w:style>
  <w:style w:type="paragraph" w:styleId="23">
    <w:name w:val="footer"/>
    <w:basedOn w:val="1"/>
    <w:link w:val="60"/>
    <w:unhideWhenUsed/>
    <w:qFormat/>
    <w:uiPriority w:val="99"/>
    <w:pPr>
      <w:tabs>
        <w:tab w:val="center" w:pos="4513"/>
        <w:tab w:val="right" w:pos="9026"/>
      </w:tabs>
      <w:snapToGrid w:val="0"/>
    </w:pPr>
  </w:style>
  <w:style w:type="paragraph" w:styleId="24">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5">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6">
    <w:name w:val="footnote text"/>
    <w:basedOn w:val="1"/>
    <w:unhideWhenUsed/>
    <w:qFormat/>
    <w:uiPriority w:val="99"/>
    <w:pPr>
      <w:snapToGrid w:val="0"/>
      <w:jc w:val="left"/>
    </w:pPr>
    <w:rPr>
      <w:sz w:val="18"/>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30">
    <w:name w:val="annotation subject"/>
    <w:basedOn w:val="20"/>
    <w:next w:val="20"/>
    <w:link w:val="59"/>
    <w:unhideWhenUsed/>
    <w:qFormat/>
    <w:uiPriority w:val="99"/>
    <w:rPr>
      <w:b/>
      <w:bCs/>
    </w:rPr>
  </w:style>
  <w:style w:type="table" w:styleId="32">
    <w:name w:val="Table Grid"/>
    <w:basedOn w:val="3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4">
    <w:name w:val="Strong"/>
    <w:basedOn w:val="33"/>
    <w:qFormat/>
    <w:uiPriority w:val="22"/>
    <w:rPr>
      <w:b/>
      <w:bCs/>
    </w:rPr>
  </w:style>
  <w:style w:type="character" w:styleId="35">
    <w:name w:val="FollowedHyperlink"/>
    <w:basedOn w:val="33"/>
    <w:qFormat/>
    <w:uiPriority w:val="0"/>
    <w:rPr>
      <w:color w:val="800080"/>
      <w:u w:val="single"/>
    </w:rPr>
  </w:style>
  <w:style w:type="character" w:styleId="36">
    <w:name w:val="Hyperlink"/>
    <w:basedOn w:val="33"/>
    <w:unhideWhenUsed/>
    <w:qFormat/>
    <w:uiPriority w:val="99"/>
    <w:rPr>
      <w:color w:val="0000FF"/>
      <w:u w:val="single"/>
    </w:rPr>
  </w:style>
  <w:style w:type="character" w:styleId="37">
    <w:name w:val="annotation reference"/>
    <w:basedOn w:val="33"/>
    <w:unhideWhenUsed/>
    <w:qFormat/>
    <w:uiPriority w:val="0"/>
    <w:rPr>
      <w:sz w:val="16"/>
      <w:szCs w:val="16"/>
    </w:rPr>
  </w:style>
  <w:style w:type="character" w:styleId="38">
    <w:name w:val="footnote reference"/>
    <w:basedOn w:val="33"/>
    <w:unhideWhenUsed/>
    <w:qFormat/>
    <w:uiPriority w:val="99"/>
    <w:rPr>
      <w:vertAlign w:val="superscript"/>
    </w:rPr>
  </w:style>
  <w:style w:type="character" w:customStyle="1" w:styleId="39">
    <w:name w:val="批注框文本 Char"/>
    <w:basedOn w:val="33"/>
    <w:link w:val="22"/>
    <w:semiHidden/>
    <w:qFormat/>
    <w:uiPriority w:val="99"/>
    <w:rPr>
      <w:rFonts w:ascii="Tahoma" w:hAnsi="Tahoma" w:eastAsia="Times New Roman" w:cs="Tahoma"/>
      <w:sz w:val="16"/>
      <w:szCs w:val="16"/>
      <w:lang w:val="en-GB"/>
    </w:rPr>
  </w:style>
  <w:style w:type="character" w:customStyle="1" w:styleId="40">
    <w:name w:val="题注 Char"/>
    <w:basedOn w:val="33"/>
    <w:link w:val="16"/>
    <w:qFormat/>
    <w:uiPriority w:val="0"/>
    <w:rPr>
      <w:b/>
      <w:bCs/>
      <w:lang w:val="en-GB" w:eastAsia="en-US" w:bidi="ar-SA"/>
    </w:rPr>
  </w:style>
  <w:style w:type="character" w:customStyle="1" w:styleId="41">
    <w:name w:val="B1 (文字)"/>
    <w:basedOn w:val="33"/>
    <w:qFormat/>
    <w:uiPriority w:val="0"/>
    <w:rPr>
      <w:rFonts w:eastAsia="Times New Roman"/>
    </w:rPr>
  </w:style>
  <w:style w:type="character" w:customStyle="1" w:styleId="42">
    <w:name w:val="样式 正文缩进d + 首行缩进:  2 字符 段前: 0.35 行 Char"/>
    <w:basedOn w:val="33"/>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3"/>
    <w:link w:val="2"/>
    <w:qFormat/>
    <w:uiPriority w:val="0"/>
    <w:rPr>
      <w:rFonts w:ascii="Arial" w:hAnsi="Arial" w:eastAsia="宋体"/>
      <w:sz w:val="28"/>
      <w:szCs w:val="22"/>
      <w:lang w:val="en-GB"/>
    </w:rPr>
  </w:style>
  <w:style w:type="character" w:customStyle="1" w:styleId="45">
    <w:name w:val="标题 4 Char"/>
    <w:basedOn w:val="33"/>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3"/>
    <w:link w:val="20"/>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3"/>
    <w:link w:val="9"/>
    <w:qFormat/>
    <w:uiPriority w:val="0"/>
    <w:rPr>
      <w:rFonts w:ascii="Arial" w:hAnsi="Arial" w:eastAsia="宋体"/>
      <w:kern w:val="2"/>
      <w:sz w:val="21"/>
      <w:szCs w:val="24"/>
    </w:rPr>
  </w:style>
  <w:style w:type="character" w:customStyle="1" w:styleId="50">
    <w:name w:val="TAL Char"/>
    <w:basedOn w:val="33"/>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3"/>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4">
    <w:name w:val="页眉 Char"/>
    <w:basedOn w:val="33"/>
    <w:link w:val="24"/>
    <w:qFormat/>
    <w:uiPriority w:val="0"/>
    <w:rPr>
      <w:rFonts w:ascii="Arial" w:hAnsi="Arial" w:eastAsia="Times New Roman"/>
      <w:b/>
      <w:sz w:val="18"/>
      <w:lang w:val="en-US" w:eastAsia="en-US" w:bidi="ar-SA"/>
    </w:rPr>
  </w:style>
  <w:style w:type="character" w:customStyle="1" w:styleId="55">
    <w:name w:val="标题 9 Char"/>
    <w:basedOn w:val="33"/>
    <w:link w:val="11"/>
    <w:qFormat/>
    <w:uiPriority w:val="0"/>
    <w:rPr>
      <w:rFonts w:ascii="Arial" w:hAnsi="Arial" w:eastAsia="宋体"/>
      <w:kern w:val="2"/>
      <w:sz w:val="21"/>
      <w:szCs w:val="24"/>
    </w:rPr>
  </w:style>
  <w:style w:type="character" w:customStyle="1" w:styleId="56">
    <w:name w:val="Doc-title Char"/>
    <w:basedOn w:val="33"/>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30"/>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3"/>
    <w:link w:val="23"/>
    <w:qFormat/>
    <w:uiPriority w:val="99"/>
    <w:rPr>
      <w:rFonts w:ascii="Times New Roman" w:hAnsi="Times New Roman" w:eastAsia="Times New Roman"/>
      <w:lang w:val="en-GB" w:eastAsia="en-US"/>
    </w:rPr>
  </w:style>
  <w:style w:type="character" w:customStyle="1" w:styleId="61">
    <w:name w:val="Doc-text2 Char"/>
    <w:basedOn w:val="33"/>
    <w:link w:val="58"/>
    <w:qFormat/>
    <w:uiPriority w:val="0"/>
    <w:rPr>
      <w:rFonts w:ascii="Arial" w:hAnsi="Arial" w:eastAsia="MS Mincho"/>
      <w:szCs w:val="24"/>
      <w:lang w:val="en-GB" w:eastAsia="en-GB" w:bidi="ar-SA"/>
    </w:rPr>
  </w:style>
  <w:style w:type="character" w:customStyle="1" w:styleId="62">
    <w:name w:val="B1 Char1"/>
    <w:basedOn w:val="33"/>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3"/>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3"/>
    <w:link w:val="67"/>
    <w:qFormat/>
    <w:uiPriority w:val="0"/>
    <w:rPr>
      <w:rFonts w:ascii="Arial" w:hAnsi="Arial"/>
      <w:b/>
      <w:sz w:val="18"/>
      <w:lang w:val="en-GB" w:eastAsia="ja-JP" w:bidi="ar-SA"/>
    </w:rPr>
  </w:style>
  <w:style w:type="paragraph" w:customStyle="1" w:styleId="67">
    <w:name w:val="TAH"/>
    <w:basedOn w:val="68"/>
    <w:link w:val="66"/>
    <w:qFormat/>
    <w:uiPriority w:val="0"/>
    <w:pPr>
      <w:keepNext/>
      <w:keepLines/>
      <w:spacing w:after="0"/>
      <w:jc w:val="center"/>
    </w:pPr>
    <w:rPr>
      <w:rFonts w:ascii="Arial" w:hAnsi="Arial"/>
      <w:b/>
      <w:sz w:val="18"/>
      <w:lang w:eastAsia="ja-JP"/>
    </w:rPr>
  </w:style>
  <w:style w:type="paragraph" w:customStyle="1" w:styleId="68">
    <w:name w:val="TAC"/>
    <w:basedOn w:val="51"/>
    <w:link w:val="78"/>
    <w:qFormat/>
    <w:uiPriority w:val="0"/>
    <w:pPr>
      <w:jc w:val="center"/>
    </w:pPr>
  </w:style>
  <w:style w:type="character" w:customStyle="1" w:styleId="69">
    <w:name w:val="msoins"/>
    <w:basedOn w:val="33"/>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3"/>
    <w:qFormat/>
    <w:uiPriority w:val="0"/>
    <w:rPr>
      <w:lang w:val="en-GB" w:eastAsia="en-US" w:bidi="ar-SA"/>
    </w:rPr>
  </w:style>
  <w:style w:type="character" w:customStyle="1" w:styleId="75">
    <w:name w:val="B1 Char"/>
    <w:basedOn w:val="33"/>
    <w:qFormat/>
    <w:uiPriority w:val="0"/>
    <w:rPr>
      <w:rFonts w:ascii="Times New Roman" w:hAnsi="Times New Roman"/>
      <w:lang w:val="en-GB" w:eastAsia="en-US"/>
    </w:rPr>
  </w:style>
  <w:style w:type="character" w:customStyle="1" w:styleId="76">
    <w:name w:val="PL Char"/>
    <w:basedOn w:val="33"/>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3"/>
    <w:semiHidden/>
    <w:qFormat/>
    <w:uiPriority w:val="99"/>
    <w:rPr>
      <w:color w:val="808080"/>
    </w:rPr>
  </w:style>
  <w:style w:type="character" w:customStyle="1" w:styleId="80">
    <w:name w:val="MTEquationSection"/>
    <w:basedOn w:val="33"/>
    <w:qFormat/>
    <w:uiPriority w:val="0"/>
    <w:rPr>
      <w:rFonts w:cs="Arial"/>
      <w:bCs/>
      <w:vanish/>
      <w:color w:val="FF0000"/>
      <w:sz w:val="28"/>
      <w:szCs w:val="28"/>
      <w:lang w:eastAsia="zh-CN"/>
    </w:rPr>
  </w:style>
  <w:style w:type="character" w:customStyle="1" w:styleId="81">
    <w:name w:val="MTDisplayEquation Char"/>
    <w:basedOn w:val="33"/>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3"/>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3"/>
    <w:link w:val="18"/>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7"/>
    <w:qFormat/>
    <w:uiPriority w:val="0"/>
  </w:style>
  <w:style w:type="paragraph" w:customStyle="1" w:styleId="119">
    <w:name w:val="B4"/>
    <w:basedOn w:val="1"/>
    <w:qFormat/>
    <w:uiPriority w:val="0"/>
    <w:pPr>
      <w:ind w:left="1418" w:hanging="284"/>
    </w:pPr>
  </w:style>
  <w:style w:type="paragraph" w:customStyle="1" w:styleId="120">
    <w:name w:val="x_msonormal"/>
    <w:basedOn w:val="1"/>
    <w:qFormat/>
    <w:uiPriority w:val="0"/>
    <w:rPr>
      <w:rFonts w:ascii="Calibri" w:hAnsi="Calibri" w:eastAsia="Calibri" w:cs="Calibri"/>
      <w:sz w:val="22"/>
      <w:szCs w:val="22"/>
    </w:rPr>
  </w:style>
  <w:style w:type="paragraph" w:customStyle="1" w:styleId="121">
    <w:name w:val="TAN"/>
    <w:basedOn w:val="51"/>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0</TotalTime>
  <ScaleCrop>false</ScaleCrop>
  <LinksUpToDate>false</LinksUpToDate>
  <CharactersWithSpaces>14152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2020-05-14T13:44:16Z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